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92" w:h="854" w:hRule="exact" w:wrap="none" w:vAnchor="page" w:hAnchor="page" w:x="1352" w:y="11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Руководителю Управления Федеральной антимонопольной службы по Республике Крым и городу Севастополю</w:t>
      </w:r>
    </w:p>
    <w:p>
      <w:pPr>
        <w:pStyle w:val="Style3"/>
        <w:framePr w:w="9792" w:h="1406" w:hRule="exact" w:wrap="none" w:vAnchor="page" w:hAnchor="page" w:x="1352" w:y="2805"/>
        <w:widowControl w:val="0"/>
        <w:keepNext w:val="0"/>
        <w:keepLines w:val="0"/>
        <w:shd w:val="clear" w:color="auto" w:fill="auto"/>
        <w:bidi w:val="0"/>
        <w:jc w:val="left"/>
        <w:spacing w:before="0" w:after="70" w:line="240" w:lineRule="exact"/>
        <w:ind w:left="4880" w:right="0" w:firstLine="0"/>
      </w:pPr>
      <w:r>
        <w:fldChar w:fldCharType="begin"/>
      </w:r>
      <w:r>
        <w:rPr>
          <w:color w:val="000000"/>
        </w:rPr>
        <w:instrText> HYPERLINK "mailto:to82@fas.gov.ru"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to82@fas.gov.ru</w:t>
      </w:r>
      <w:r>
        <w:fldChar w:fldCharType="end"/>
      </w:r>
    </w:p>
    <w:p>
      <w:pPr>
        <w:pStyle w:val="Style5"/>
        <w:framePr w:w="9792" w:h="1406" w:hRule="exact" w:wrap="none" w:vAnchor="page" w:hAnchor="page" w:x="1352" w:y="2805"/>
        <w:widowControl w:val="0"/>
        <w:keepNext w:val="0"/>
        <w:keepLines w:val="0"/>
        <w:shd w:val="clear" w:color="auto" w:fill="auto"/>
        <w:bidi w:val="0"/>
        <w:jc w:val="left"/>
        <w:spacing w:before="0" w:after="150" w:line="80" w:lineRule="exact"/>
        <w:ind w:left="6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3"/>
        <w:framePr w:w="9792" w:h="1406" w:hRule="exact" w:wrap="none" w:vAnchor="page" w:hAnchor="page" w:x="1352" w:y="2805"/>
        <w:widowControl w:val="0"/>
        <w:keepNext w:val="0"/>
        <w:keepLines w:val="0"/>
        <w:shd w:val="clear" w:color="auto" w:fill="auto"/>
        <w:bidi w:val="0"/>
        <w:jc w:val="left"/>
        <w:spacing w:before="0" w:after="116" w:line="240" w:lineRule="exact"/>
        <w:ind w:left="48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Заявитель: Индивидуальный предприниматель</w:t>
      </w:r>
    </w:p>
    <w:p>
      <w:pPr>
        <w:pStyle w:val="Style7"/>
        <w:framePr w:w="9792" w:h="1406" w:hRule="exact" w:wrap="none" w:vAnchor="page" w:hAnchor="page" w:x="1352" w:y="2805"/>
        <w:tabs>
          <w:tab w:leader="none" w:pos="7266" w:val="left"/>
          <w:tab w:leader="none" w:pos="7809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6340" w:right="0" w:firstLine="0"/>
      </w:pPr>
      <w:r>
        <w:rPr>
          <w:lang w:val="en-US" w:eastAsia="en-US" w:bidi="en-US"/>
          <w:w w:val="100"/>
          <w:color w:val="000000"/>
          <w:position w:val="0"/>
        </w:rPr>
        <w:t>J.</w:t>
        <w:tab/>
      </w:r>
      <w:r>
        <w:rPr>
          <w:lang w:val="ru-RU" w:eastAsia="ru-RU" w:bidi="ru-RU"/>
          <w:w w:val="100"/>
          <w:color w:val="000000"/>
          <w:position w:val="0"/>
        </w:rPr>
        <w:t>' ’</w:t>
        <w:tab/>
      </w:r>
      <w:r>
        <w:rPr>
          <w:rStyle w:val="CharStyle9"/>
        </w:rPr>
        <w:t>X</w:t>
      </w:r>
    </w:p>
    <w:p>
      <w:pPr>
        <w:pStyle w:val="Style10"/>
        <w:framePr w:w="9792" w:h="1406" w:hRule="exact" w:wrap="none" w:vAnchor="page" w:hAnchor="page" w:x="1352" w:y="280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8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Почтовый адрес: 352691, Краснодарский</w:t>
      </w:r>
    </w:p>
    <w:p>
      <w:pPr>
        <w:pStyle w:val="Style12"/>
        <w:framePr w:w="9792" w:h="576" w:hRule="exact" w:wrap="none" w:vAnchor="page" w:hAnchor="page" w:x="1352" w:y="555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88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Жалоба</w:t>
      </w:r>
      <w:bookmarkEnd w:id="0"/>
    </w:p>
    <w:p>
      <w:pPr>
        <w:pStyle w:val="Style12"/>
        <w:framePr w:w="9792" w:h="576" w:hRule="exact" w:wrap="none" w:vAnchor="page" w:hAnchor="page" w:x="1352" w:y="555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94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нарушения порядка проведения торгов</w:t>
      </w:r>
      <w:bookmarkEnd w:id="1"/>
    </w:p>
    <w:p>
      <w:pPr>
        <w:pStyle w:val="Style3"/>
        <w:framePr w:w="9792" w:h="8948" w:hRule="exact" w:wrap="none" w:vAnchor="page" w:hAnchor="page" w:x="1352" w:y="662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Решением суда от 26.11.2019г. по делу А83-16174/2018АО «Крымский винно - коньячный завод «Бахчисарай» (ОГРН 1149102129923, ИНН 9104002947, адрес: 298403, Р.Крым, Бахчисарайский район, г.Бахчисарай, ул.Македонского, 1признано несостоятельным (банкротом) и в отношении него открыто конкурсное производство сроком на 6 месяцев.</w:t>
      </w:r>
    </w:p>
    <w:p>
      <w:pPr>
        <w:pStyle w:val="Style3"/>
        <w:framePr w:w="9792" w:h="8948" w:hRule="exact" w:wrap="none" w:vAnchor="page" w:hAnchor="page" w:x="1352" w:y="662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Конкурсным управляющим АО «Крымский винно - коньячный завод «Бахчисарай» утвержден</w:t>
      </w:r>
    </w:p>
    <w:p>
      <w:pPr>
        <w:pStyle w:val="Style3"/>
        <w:framePr w:w="9792" w:h="8948" w:hRule="exact" w:wrap="none" w:vAnchor="page" w:hAnchor="page" w:x="1352" w:y="6627"/>
        <w:tabs>
          <w:tab w:leader="none" w:pos="8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 для корреспонденции:</w:t>
        <w:tab/>
        <w:t>, являющийся</w:t>
      </w:r>
    </w:p>
    <w:p>
      <w:pPr>
        <w:pStyle w:val="Style3"/>
        <w:framePr w:w="9792" w:h="8948" w:hRule="exact" w:wrap="none" w:vAnchor="page" w:hAnchor="page" w:x="1352" w:y="662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членом Региональной саморегулируемой организации профессиональных арбитражных управляющих.</w:t>
      </w:r>
    </w:p>
    <w:p>
      <w:pPr>
        <w:pStyle w:val="Style3"/>
        <w:framePr w:w="9792" w:h="8948" w:hRule="exact" w:wrap="none" w:vAnchor="page" w:hAnchor="page" w:x="1352" w:y="6627"/>
        <w:tabs>
          <w:tab w:leader="none" w:pos="36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21.01.2022г. арбитражным управляющим на сайте ЕФРСБ размещено сообщение № 8059868 согласно которому организатор торгов - конкурсный управляющий АО «КВКЗ «Бахчисарай»</w:t>
        <w:tab/>
      </w:r>
      <w:r>
        <w:rPr>
          <w:rStyle w:val="CharStyle14"/>
        </w:rPr>
        <w:t>__________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сообщает о продаже имущества АО «КВКЗ</w:t>
      </w:r>
    </w:p>
    <w:p>
      <w:pPr>
        <w:pStyle w:val="Style3"/>
        <w:framePr w:w="9792" w:h="8948" w:hRule="exact" w:wrap="none" w:vAnchor="page" w:hAnchor="page" w:x="1352" w:y="662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«Бахчисарай» на электронных торгах в форме открытого аукциона с открытой формой представления предложения о цене имущества Лот №3 и Лот №4.</w:t>
      </w:r>
    </w:p>
    <w:p>
      <w:pPr>
        <w:pStyle w:val="Style3"/>
        <w:framePr w:w="9792" w:h="8948" w:hRule="exact" w:wrap="none" w:vAnchor="page" w:hAnchor="page" w:x="1352" w:y="662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признания не состоявшимися первых торгов, повторные торги состоятся в 13</w:t>
      </w:r>
    </w:p>
    <w:p>
      <w:pPr>
        <w:pStyle w:val="Style3"/>
        <w:framePr w:w="9792" w:h="8948" w:hRule="exact" w:wrap="none" w:vAnchor="page" w:hAnchor="page" w:x="1352" w:y="6627"/>
        <w:tabs>
          <w:tab w:leader="none" w:pos="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ч.</w:t>
        <w:tab/>
        <w:t>00 мин. 18.04.2022 г. на указанных условиях. Заявки и задатки принимаются до 00 ч. 00 мин. 14.04.2022 г., начиная с 09.03.2022 г. Подведение итогов в 18ч. 00 мин. 18.04.2022г. Начальная цена на 10% ниже цены, установленной на первых торгах.</w:t>
      </w:r>
    </w:p>
    <w:p>
      <w:pPr>
        <w:pStyle w:val="Style3"/>
        <w:framePr w:w="9792" w:h="8948" w:hRule="exact" w:wrap="none" w:vAnchor="page" w:hAnchor="page" w:x="1352" w:y="662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признания повторных торгов не состоявшимися, торги проводятся посредством публичного предложения. Начальная цена устанавливается сроком на 5 календарных дней, начиная с 25.04.2022 года. По истечению установленного срока цена продажи снижается на 5 % каждые 5 календарных дней. Задаток на торгах посредством публичного предложения 10 % от цены предложения определенного периода проведения торгов.</w:t>
      </w:r>
    </w:p>
    <w:p>
      <w:pPr>
        <w:pStyle w:val="Style3"/>
        <w:framePr w:w="9792" w:h="8948" w:hRule="exact" w:wrap="none" w:vAnchor="page" w:hAnchor="page" w:x="1352" w:y="662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Торги в отношении имущества по Лоту №3 и Лоту №4 проводились на электронной торговой площадке Региональная торговая площадка </w:t>
      </w:r>
      <w:r>
        <w:fldChar w:fldCharType="begin"/>
      </w:r>
      <w:r>
        <w:rPr>
          <w:color w:val="000000"/>
        </w:rPr>
        <w:instrText> HYPERLINK "https://regtorg.com/"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https://regtorg.com/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установленные в публикации сроки.</w:t>
      </w:r>
    </w:p>
    <w:p>
      <w:pPr>
        <w:pStyle w:val="Style3"/>
        <w:framePr w:w="9792" w:h="8948" w:hRule="exact" w:wrap="none" w:vAnchor="page" w:hAnchor="page" w:x="1352" w:y="662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публикацией на электронной площадке и установленным пор</w:t>
      </w:r>
      <w:r>
        <w:rPr>
          <w:rStyle w:val="CharStyle15"/>
        </w:rPr>
        <w:t>ядк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ом продажи имущества снижение цены происходило в следующем порядке:</w:t>
      </w:r>
    </w:p>
    <w:p>
      <w:pPr>
        <w:pStyle w:val="Style16"/>
        <w:framePr w:w="9792" w:h="8948" w:hRule="exact" w:wrap="none" w:vAnchor="page" w:hAnchor="page" w:x="1352" w:y="662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начала периода и подачи предложений Дата окончания периода и окончания предложений</w:t>
      </w:r>
    </w:p>
    <w:p>
      <w:pPr>
        <w:pStyle w:val="Style18"/>
        <w:numPr>
          <w:ilvl w:val="0"/>
          <w:numId w:val="1"/>
        </w:numPr>
        <w:framePr w:w="9792" w:h="8948" w:hRule="exact" w:wrap="none" w:vAnchor="page" w:hAnchor="page" w:x="1352" w:y="6627"/>
        <w:tabs>
          <w:tab w:leader="none" w:pos="1793" w:val="left"/>
          <w:tab w:leader="none" w:pos="55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  <w:r>
        <w:rPr>
          <w:rStyle w:val="CharStyle2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30</w:t>
      </w:r>
      <w:r>
        <w:rPr>
          <w:rStyle w:val="CharStyle20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04.2022</w:t>
      </w:r>
      <w:r>
        <w:rPr>
          <w:rStyle w:val="CharStyle2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18"/>
        <w:numPr>
          <w:ilvl w:val="0"/>
          <w:numId w:val="3"/>
        </w:numPr>
        <w:framePr w:w="9792" w:h="8948" w:hRule="exact" w:wrap="none" w:vAnchor="page" w:hAnchor="page" w:x="1352" w:y="6627"/>
        <w:tabs>
          <w:tab w:leader="none" w:pos="1793" w:val="left"/>
          <w:tab w:leader="none" w:pos="55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  <w:r>
        <w:rPr>
          <w:rStyle w:val="CharStyle2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05</w:t>
      </w:r>
      <w:r>
        <w:rPr>
          <w:rStyle w:val="CharStyle20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05.2022</w:t>
      </w:r>
      <w:r>
        <w:rPr>
          <w:rStyle w:val="CharStyle2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18"/>
        <w:numPr>
          <w:ilvl w:val="0"/>
          <w:numId w:val="5"/>
        </w:numPr>
        <w:framePr w:w="9792" w:h="8948" w:hRule="exact" w:wrap="none" w:vAnchor="page" w:hAnchor="page" w:x="1352" w:y="6627"/>
        <w:tabs>
          <w:tab w:leader="none" w:pos="1793" w:val="left"/>
          <w:tab w:leader="none" w:pos="55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  <w:r>
        <w:rPr>
          <w:rStyle w:val="CharStyle2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  <w:r>
        <w:rPr>
          <w:rStyle w:val="CharStyle20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05.2022</w:t>
      </w:r>
      <w:r>
        <w:rPr>
          <w:rStyle w:val="CharStyle2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numPr>
          <w:ilvl w:val="0"/>
          <w:numId w:val="7"/>
        </w:numPr>
        <w:framePr w:w="1474" w:h="3950" w:hRule="exact" w:wrap="none" w:vAnchor="page" w:hAnchor="page" w:x="2038" w:y="1165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9"/>
        </w:numPr>
        <w:framePr w:w="1474" w:h="3950" w:hRule="exact" w:wrap="none" w:vAnchor="page" w:hAnchor="page" w:x="2038" w:y="1165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11"/>
        </w:numPr>
        <w:framePr w:w="1474" w:h="3950" w:hRule="exact" w:wrap="none" w:vAnchor="page" w:hAnchor="page" w:x="2038" w:y="1165"/>
        <w:tabs>
          <w:tab w:leader="none" w:pos="9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13"/>
        </w:numPr>
        <w:framePr w:w="1474" w:h="3950" w:hRule="exact" w:wrap="none" w:vAnchor="page" w:hAnchor="page" w:x="2038" w:y="1165"/>
        <w:tabs>
          <w:tab w:leader="none" w:pos="9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15"/>
        </w:numPr>
        <w:framePr w:w="1474" w:h="3950" w:hRule="exact" w:wrap="none" w:vAnchor="page" w:hAnchor="page" w:x="2038" w:y="1165"/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17"/>
        </w:numPr>
        <w:framePr w:w="1474" w:h="3950" w:hRule="exact" w:wrap="none" w:vAnchor="page" w:hAnchor="page" w:x="2038" w:y="1165"/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19"/>
        </w:numPr>
        <w:framePr w:w="1474" w:h="3950" w:hRule="exact" w:wrap="none" w:vAnchor="page" w:hAnchor="page" w:x="2038" w:y="1165"/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21"/>
        </w:numPr>
        <w:framePr w:w="1474" w:h="3950" w:hRule="exact" w:wrap="none" w:vAnchor="page" w:hAnchor="page" w:x="2038" w:y="1165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23"/>
        </w:numPr>
        <w:framePr w:w="1474" w:h="3950" w:hRule="exact" w:wrap="none" w:vAnchor="page" w:hAnchor="page" w:x="2038" w:y="1165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25"/>
        </w:numPr>
        <w:framePr w:w="1474" w:h="3950" w:hRule="exact" w:wrap="none" w:vAnchor="page" w:hAnchor="page" w:x="2038" w:y="1165"/>
        <w:tabs>
          <w:tab w:leader="none" w:pos="9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27"/>
        </w:numPr>
        <w:framePr w:w="1474" w:h="3950" w:hRule="exact" w:wrap="none" w:vAnchor="page" w:hAnchor="page" w:x="2038" w:y="1165"/>
        <w:tabs>
          <w:tab w:leader="none" w:pos="9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29"/>
        </w:numPr>
        <w:framePr w:w="1474" w:h="3950" w:hRule="exact" w:wrap="none" w:vAnchor="page" w:hAnchor="page" w:x="2038" w:y="1165"/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31"/>
        </w:numPr>
        <w:framePr w:w="1474" w:h="3950" w:hRule="exact" w:wrap="none" w:vAnchor="page" w:hAnchor="page" w:x="2038" w:y="1165"/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33"/>
        </w:numPr>
        <w:framePr w:w="1474" w:h="3950" w:hRule="exact" w:wrap="none" w:vAnchor="page" w:hAnchor="page" w:x="2038" w:y="1165"/>
        <w:tabs>
          <w:tab w:leader="none" w:pos="9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35"/>
        </w:numPr>
        <w:framePr w:w="1474" w:h="3950" w:hRule="exact" w:wrap="none" w:vAnchor="page" w:hAnchor="page" w:x="2038" w:y="1165"/>
        <w:tabs>
          <w:tab w:leader="none" w:pos="9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37"/>
        </w:numPr>
        <w:framePr w:w="1474" w:h="3950" w:hRule="exact" w:wrap="none" w:vAnchor="page" w:hAnchor="page" w:x="2038" w:y="1165"/>
        <w:tabs>
          <w:tab w:leader="none" w:pos="9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39"/>
        </w:numPr>
        <w:framePr w:w="1474" w:h="3950" w:hRule="exact" w:wrap="none" w:vAnchor="page" w:hAnchor="page" w:x="2038" w:y="1165"/>
        <w:tabs>
          <w:tab w:leader="none" w:pos="9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41"/>
        </w:numPr>
        <w:framePr w:w="9792" w:h="3945" w:hRule="exact" w:wrap="none" w:vAnchor="page" w:hAnchor="page" w:x="1352" w:y="1155"/>
        <w:tabs>
          <w:tab w:leader="none" w:pos="64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43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45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47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49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51"/>
        </w:numPr>
        <w:framePr w:w="9792" w:h="3945" w:hRule="exact" w:wrap="none" w:vAnchor="page" w:hAnchor="page" w:x="1352" w:y="1155"/>
        <w:tabs>
          <w:tab w:leader="none" w:pos="65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53"/>
        </w:numPr>
        <w:framePr w:w="9792" w:h="3945" w:hRule="exact" w:wrap="none" w:vAnchor="page" w:hAnchor="page" w:x="1352" w:y="1155"/>
        <w:tabs>
          <w:tab w:leader="none" w:pos="65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55"/>
        </w:numPr>
        <w:framePr w:w="9792" w:h="3945" w:hRule="exact" w:wrap="none" w:vAnchor="page" w:hAnchor="page" w:x="1352" w:y="1155"/>
        <w:tabs>
          <w:tab w:leader="none" w:pos="65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57"/>
        </w:numPr>
        <w:framePr w:w="9792" w:h="3945" w:hRule="exact" w:wrap="none" w:vAnchor="page" w:hAnchor="page" w:x="1352" w:y="1155"/>
        <w:tabs>
          <w:tab w:leader="none" w:pos="65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59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61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63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65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67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69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71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21"/>
        <w:numPr>
          <w:ilvl w:val="0"/>
          <w:numId w:val="73"/>
        </w:numPr>
        <w:framePr w:w="9792" w:h="3945" w:hRule="exact" w:wrap="none" w:vAnchor="page" w:hAnchor="page" w:x="1352" w:y="1155"/>
        <w:tabs>
          <w:tab w:leader="non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81" w:right="27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00:00</w:t>
      </w:r>
    </w:p>
    <w:p>
      <w:pPr>
        <w:pStyle w:val="Style3"/>
        <w:framePr w:w="9792" w:h="3651" w:hRule="exact" w:wrap="none" w:vAnchor="page" w:hAnchor="page" w:x="1352" w:y="5048"/>
        <w:tabs>
          <w:tab w:leader="none" w:pos="6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Индивидуальный предприниматель</w:t>
        <w:tab/>
        <w:t>приняла участие в торгах, подав</w:t>
      </w:r>
    </w:p>
    <w:p>
      <w:pPr>
        <w:pStyle w:val="Style3"/>
        <w:framePr w:w="9792" w:h="3651" w:hRule="exact" w:wrap="none" w:vAnchor="page" w:hAnchor="page" w:x="1352" w:y="504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заявку на Региональной торговой площадке </w:t>
      </w:r>
      <w:r>
        <w:fldChar w:fldCharType="begin"/>
      </w:r>
      <w:r>
        <w:rPr>
          <w:color w:val="000000"/>
        </w:rPr>
        <w:instrText> HYPERLINK "https://regtorg.eom/e"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https://regtorg.eom/e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предложением о цене № 15411 от 03.07.2022 г. в 23:50 на этапе торгов публичного предложения начавшегося 29.06.2022 и окончившегося 04.06.2022г. от имени агента - ООО «Правовой Гарант» по договору на участие в электронных торгах № 2022-0107 от 01.07.2022 г. с ценовым предложением 40 000 000,00 рублей, кроме того факт участия в торгах в указанном периоде подтверждается суммой внесённой предоплаты в сумме 3 490 900,57 рублей (платежное поручение № 246 от 01.07.2022 г.) в размере 10 % начальной цены продажи лота на этапе публичного предложения: 34 909 005,66 рублей.</w:t>
      </w:r>
    </w:p>
    <w:p>
      <w:pPr>
        <w:pStyle w:val="Style3"/>
        <w:framePr w:w="9792" w:h="3651" w:hRule="exact" w:wrap="none" w:vAnchor="page" w:hAnchor="page" w:x="1352" w:y="5048"/>
        <w:tabs>
          <w:tab w:leader="none" w:pos="9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этом организатором торгов конкурсным управляющим</w:t>
        <w:tab/>
        <w:t>итоги</w:t>
      </w:r>
    </w:p>
    <w:p>
      <w:pPr>
        <w:pStyle w:val="Style3"/>
        <w:framePr w:w="9792" w:h="3651" w:hRule="exact" w:wrap="none" w:vAnchor="page" w:hAnchor="page" w:x="1352" w:y="504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торгов в нарушении норм Закона о банкротстве подведены не были, а напротив 07.07.2022г. в 18-20 было размещено сообщение о поступлении ему заявления об исключении из конкурсной массы и приостановлении торгов, публичного предложения №4737-ОТПП до</w:t>
      </w:r>
    </w:p>
    <w:p>
      <w:pPr>
        <w:pStyle w:val="Style3"/>
        <w:framePr w:w="9792" w:h="6910" w:hRule="exact" w:wrap="none" w:vAnchor="page" w:hAnchor="page" w:x="1352" w:y="864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рассмотрения заявления в суде.</w:t>
      </w:r>
    </w:p>
    <w:p>
      <w:pPr>
        <w:pStyle w:val="Style3"/>
        <w:framePr w:w="9792" w:h="6910" w:hRule="exact" w:wrap="none" w:vAnchor="page" w:hAnchor="page" w:x="1352" w:y="864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пунктом 15 статьи 110 Закона о банкротстве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</w:r>
    </w:p>
    <w:p>
      <w:pPr>
        <w:pStyle w:val="Style3"/>
        <w:framePr w:w="9792" w:h="6910" w:hRule="exact" w:wrap="none" w:vAnchor="page" w:hAnchor="page" w:x="1352" w:y="864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абзацу 8 пункта 4 статьи 139 Закона о банкротстве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>
      <w:pPr>
        <w:pStyle w:val="Style3"/>
        <w:framePr w:w="9792" w:h="6910" w:hRule="exact" w:wrap="none" w:vAnchor="page" w:hAnchor="page" w:x="1352" w:y="864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абзацем пятым пункта 4 статьи 139 Закона о банкротстве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>
      <w:pPr>
        <w:pStyle w:val="Style3"/>
        <w:framePr w:w="9792" w:h="6910" w:hRule="exact" w:wrap="none" w:vAnchor="page" w:hAnchor="page" w:x="1352" w:y="864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смыслу положений статьи 139 Закона о банкротстве шаг снижения начальной цены на стадии публичного предложения и периодичность ее снижения являются существенными элементами порядка и условий реализации имущества должника. Снижение цены реализации на стадии публичного предложения производится только в случае отсутствия спроса на имущество должника по текущей цене публичного предложения. Снижение цены происходит пошагово (поэтапно) до тех пор, пока заинтересованное лицо не представит организатору торгов надлежаще оформленную заявку с указанием цены приобретения, равной цене соответствующего этапа публичного предложения либо превышающей ее.</w:t>
      </w:r>
    </w:p>
    <w:p>
      <w:pPr>
        <w:pStyle w:val="Style3"/>
        <w:framePr w:w="9792" w:h="6910" w:hRule="exact" w:wrap="none" w:vAnchor="page" w:hAnchor="page" w:x="1352" w:y="864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Таким образом, победитель торгов должен был быть определен конкурсным управ ляющим-организатором торгов по окончании периода, в течение которого действует установленная организатором торгов цена продажи имущества и в который были поданы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87" w:h="6394" w:hRule="exact" w:wrap="none" w:vAnchor="page" w:hAnchor="page" w:x="135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заявки, допущенные к участию в торгах.</w:t>
      </w:r>
    </w:p>
    <w:p>
      <w:pPr>
        <w:pStyle w:val="Style3"/>
        <w:framePr w:w="9787" w:h="6394" w:hRule="exact" w:wrap="none" w:vAnchor="page" w:hAnchor="page" w:x="135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Днем подведения результатов торгов для публичного предложения является день завершения этапа снижения цены, в котором была подана хотя бы одна заявка, содержащая цену не менее цены предложения на данном этапе снижения.</w:t>
      </w:r>
    </w:p>
    <w:p>
      <w:pPr>
        <w:pStyle w:val="Style3"/>
        <w:framePr w:w="9787" w:h="6394" w:hRule="exact" w:wrap="none" w:vAnchor="page" w:hAnchor="page" w:x="1354" w:y="1097"/>
        <w:tabs>
          <w:tab w:leader="none" w:pos="83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Однако, организатор торгов конкурсный управляющий</w:t>
        <w:tab/>
        <w:t>по окончании</w:t>
      </w:r>
    </w:p>
    <w:p>
      <w:pPr>
        <w:pStyle w:val="Style3"/>
        <w:framePr w:w="9787" w:h="6394" w:hRule="exact" w:wrap="none" w:vAnchor="page" w:hAnchor="page" w:x="135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04.07.2022г. этапа торгов публичного предложения при наличии поданных заявок с предложением цены имущества не подвел итоги торгов.</w:t>
      </w:r>
    </w:p>
    <w:p>
      <w:pPr>
        <w:pStyle w:val="Style3"/>
        <w:framePr w:w="9787" w:h="6394" w:hRule="exact" w:wrap="none" w:vAnchor="page" w:hAnchor="page" w:x="135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Напротив, 07.07.2022г. в 17-47 им на электронной площадке было размещено сообщение о приостановке торгов в связи с поступлением к нему заявления об исключении части имущества, являющегося предметом торгов №4737-ОТПП из конкурсной массы АО «КВКЗ «Бахчисарай».</w:t>
      </w:r>
    </w:p>
    <w:p>
      <w:pPr>
        <w:pStyle w:val="Style3"/>
        <w:framePr w:w="9787" w:h="6394" w:hRule="exact" w:wrap="none" w:vAnchor="page" w:hAnchor="page" w:x="135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Несвоевременное рассмотрение организатором торгов заявок претендентов свидетельствует о нарушении при проведении торгов общего принципа, заключающегося в продаже имущества по наиболее высокой цене, предложенной потенциальными покупателями, а также о несоблюдении положений пункта 4 статьи 139 Закона о банкротстве.</w:t>
      </w:r>
    </w:p>
    <w:p>
      <w:pPr>
        <w:pStyle w:val="Style3"/>
        <w:framePr w:w="9787" w:h="6394" w:hRule="exact" w:wrap="none" w:vAnchor="page" w:hAnchor="page" w:x="1354" w:y="1097"/>
        <w:tabs>
          <w:tab w:leader="none" w:pos="55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части 1 статьи 17 Закона О защите конкуренции при проведении торгов запрещаются действия, которые приводят или могут привести к недопущению, ограничению или устранению конкуренции, в том числе:</w:t>
        <w:tab/>
        <w:t>координация организаторами торгов</w:t>
      </w:r>
    </w:p>
    <w:p>
      <w:pPr>
        <w:pStyle w:val="Style3"/>
        <w:framePr w:w="9787" w:h="6394" w:hRule="exact" w:wrap="none" w:vAnchor="page" w:hAnchor="page" w:x="135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деятельности их участников; создание участнику торгов преимущественных условий участия в торгах, в том числе путем доступа к информации; нарушение порядка определения победителя или победителей торгов.</w:t>
      </w:r>
    </w:p>
    <w:p>
      <w:pPr>
        <w:pStyle w:val="Style3"/>
        <w:framePr w:w="9787" w:h="6394" w:hRule="exact" w:wrap="none" w:vAnchor="page" w:hAnchor="page" w:x="135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основании изложенного, прошу провести проверку в отношении организатора торгов и принять меры установленные законодательством.</w:t>
      </w:r>
    </w:p>
    <w:p>
      <w:pPr>
        <w:pStyle w:val="Style3"/>
        <w:framePr w:w="9787" w:h="2530" w:hRule="exact" w:wrap="none" w:vAnchor="page" w:hAnchor="page" w:x="1354" w:y="798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Приложение:</w:t>
      </w:r>
    </w:p>
    <w:p>
      <w:pPr>
        <w:pStyle w:val="Style3"/>
        <w:numPr>
          <w:ilvl w:val="0"/>
          <w:numId w:val="75"/>
        </w:numPr>
        <w:framePr w:w="9787" w:h="2530" w:hRule="exact" w:wrap="none" w:vAnchor="page" w:hAnchor="page" w:x="1354" w:y="7985"/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Публикация о торгах</w:t>
      </w:r>
    </w:p>
    <w:p>
      <w:pPr>
        <w:pStyle w:val="Style3"/>
        <w:numPr>
          <w:ilvl w:val="0"/>
          <w:numId w:val="75"/>
        </w:numPr>
        <w:framePr w:w="9787" w:h="2530" w:hRule="exact" w:wrap="none" w:vAnchor="page" w:hAnchor="page" w:x="1354" w:y="7985"/>
        <w:tabs>
          <w:tab w:leader="none" w:pos="9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Сообщение о приостановке торгов</w:t>
      </w:r>
    </w:p>
    <w:p>
      <w:pPr>
        <w:pStyle w:val="Style3"/>
        <w:numPr>
          <w:ilvl w:val="0"/>
          <w:numId w:val="77"/>
        </w:numPr>
        <w:framePr w:w="9787" w:h="2530" w:hRule="exact" w:wrap="none" w:vAnchor="page" w:hAnchor="page" w:x="1354" w:y="7985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Квитанции об отправке заявления сторонам</w:t>
      </w:r>
    </w:p>
    <w:p>
      <w:pPr>
        <w:pStyle w:val="Style3"/>
        <w:numPr>
          <w:ilvl w:val="0"/>
          <w:numId w:val="77"/>
        </w:numPr>
        <w:framePr w:w="9787" w:h="2530" w:hRule="exact" w:wrap="none" w:vAnchor="page" w:hAnchor="page" w:x="1354" w:y="7985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Письмо электронной площадки Региональная торговая площадка </w:t>
      </w:r>
      <w:r>
        <w:fldChar w:fldCharType="begin"/>
      </w:r>
      <w:r>
        <w:rPr>
          <w:color w:val="000000"/>
        </w:rPr>
        <w:instrText> HYPERLINK "https://regtorg.com/"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https://regtorg.com/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полученное с электронного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anpeca:</w:t>
      </w:r>
      <w:r>
        <w:fldChar w:fldCharType="begin"/>
      </w:r>
      <w:r>
        <w:rPr>
          <w:color w:val="000000"/>
        </w:rPr>
        <w:instrText> HYPERLINK "mailto:etp@regtorg.com"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etp@regtorg.com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,</w:t>
      </w:r>
    </w:p>
    <w:p>
      <w:pPr>
        <w:pStyle w:val="Style3"/>
        <w:numPr>
          <w:ilvl w:val="0"/>
          <w:numId w:val="77"/>
        </w:numPr>
        <w:framePr w:w="9787" w:h="2530" w:hRule="exact" w:wrap="none" w:vAnchor="page" w:hAnchor="page" w:x="1354" w:y="7985"/>
        <w:tabs>
          <w:tab w:leader="none" w:pos="9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Платежное поручение № 246 от 01.07.2022 г.</w:t>
      </w:r>
    </w:p>
    <w:p>
      <w:pPr>
        <w:pStyle w:val="Style3"/>
        <w:numPr>
          <w:ilvl w:val="0"/>
          <w:numId w:val="77"/>
        </w:numPr>
        <w:framePr w:w="9787" w:h="2530" w:hRule="exact" w:wrap="none" w:vAnchor="page" w:hAnchor="page" w:x="1354" w:y="7985"/>
        <w:tabs>
          <w:tab w:leader="none" w:pos="9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Договор на участие в электронных торгах № 2022-0107 от 01.07.2022 г.</w:t>
      </w:r>
    </w:p>
    <w:p>
      <w:pPr>
        <w:pStyle w:val="Style3"/>
        <w:numPr>
          <w:ilvl w:val="0"/>
          <w:numId w:val="77"/>
        </w:numPr>
        <w:framePr w:w="9787" w:h="2530" w:hRule="exact" w:wrap="none" w:vAnchor="page" w:hAnchor="page" w:x="1354" w:y="7985"/>
        <w:tabs>
          <w:tab w:leader="none" w:pos="9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Доверенность представителя.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22"/>
      <w:numFmt w:val="decimal"/>
      <w:lvlText w:val="25.0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22"/>
      <w:numFmt w:val="decimal"/>
      <w:lvlText w:val="30.0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22"/>
      <w:numFmt w:val="decimal"/>
      <w:lvlText w:val="05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022"/>
      <w:numFmt w:val="decimal"/>
      <w:lvlText w:val="10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022"/>
      <w:numFmt w:val="decimal"/>
      <w:lvlText w:val="15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022"/>
      <w:numFmt w:val="decimal"/>
      <w:lvlText w:val="20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2022"/>
      <w:numFmt w:val="decimal"/>
      <w:lvlText w:val="25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022"/>
      <w:numFmt w:val="decimal"/>
      <w:lvlText w:val="30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2022"/>
      <w:numFmt w:val="decimal"/>
      <w:lvlText w:val="04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2022"/>
      <w:numFmt w:val="decimal"/>
      <w:lvlText w:val="09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2022"/>
      <w:numFmt w:val="decimal"/>
      <w:lvlText w:val="14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2022"/>
      <w:numFmt w:val="decimal"/>
      <w:lvlText w:val="19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2022"/>
      <w:numFmt w:val="decimal"/>
      <w:lvlText w:val="24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2022"/>
      <w:numFmt w:val="decimal"/>
      <w:lvlText w:val="29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2022"/>
      <w:numFmt w:val="decimal"/>
      <w:lvlText w:val="04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2022"/>
      <w:numFmt w:val="decimal"/>
      <w:lvlText w:val="09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2022"/>
      <w:numFmt w:val="decimal"/>
      <w:lvlText w:val="14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2022"/>
      <w:numFmt w:val="decimal"/>
      <w:lvlText w:val="19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2022"/>
      <w:numFmt w:val="decimal"/>
      <w:lvlText w:val="24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2022"/>
      <w:numFmt w:val="decimal"/>
      <w:lvlText w:val="29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2022"/>
      <w:numFmt w:val="decimal"/>
      <w:lvlText w:val="15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2022"/>
      <w:numFmt w:val="decimal"/>
      <w:lvlText w:val="20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2022"/>
      <w:numFmt w:val="decimal"/>
      <w:lvlText w:val="25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2022"/>
      <w:numFmt w:val="decimal"/>
      <w:lvlText w:val="30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2022"/>
      <w:numFmt w:val="decimal"/>
      <w:lvlText w:val="04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2022"/>
      <w:numFmt w:val="decimal"/>
      <w:lvlText w:val="09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2022"/>
      <w:numFmt w:val="decimal"/>
      <w:lvlText w:val="14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2022"/>
      <w:numFmt w:val="decimal"/>
      <w:lvlText w:val="19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2022"/>
      <w:numFmt w:val="decimal"/>
      <w:lvlText w:val="24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2022"/>
      <w:numFmt w:val="decimal"/>
      <w:lvlText w:val="29.0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2022"/>
      <w:numFmt w:val="decimal"/>
      <w:lvlText w:val="04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2022"/>
      <w:numFmt w:val="decimal"/>
      <w:lvlText w:val="09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2022"/>
      <w:numFmt w:val="decimal"/>
      <w:lvlText w:val="14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2022"/>
      <w:numFmt w:val="decimal"/>
      <w:lvlText w:val="19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2022"/>
      <w:numFmt w:val="decimal"/>
      <w:lvlText w:val="24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2022"/>
      <w:numFmt w:val="decimal"/>
      <w:lvlText w:val="29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2022"/>
      <w:numFmt w:val="decimal"/>
      <w:lvlText w:val="03.08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  <w:spacing w:val="-10"/>
    </w:rPr>
  </w:style>
  <w:style w:type="character" w:customStyle="1" w:styleId="CharStyle9">
    <w:name w:val="Основной текст (4) + Verdana,Курсив,Интервал 0 pt"/>
    <w:basedOn w:val="CharStyle8"/>
    <w:rPr>
      <w:lang w:val="ru-RU" w:eastAsia="ru-RU" w:bidi="ru-RU"/>
      <w:i/>
      <w:iCs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1">
    <w:name w:val="Основной текст (5)_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Основной текст (2) + Интервал 3 pt"/>
    <w:basedOn w:val="CharStyle4"/>
    <w:rPr>
      <w:lang w:val="ru-RU" w:eastAsia="ru-RU" w:bidi="ru-RU"/>
      <w:sz w:val="24"/>
      <w:szCs w:val="24"/>
      <w:w w:val="100"/>
      <w:spacing w:val="70"/>
      <w:color w:val="000000"/>
      <w:position w:val="0"/>
    </w:rPr>
  </w:style>
  <w:style w:type="character" w:customStyle="1" w:styleId="CharStyle15">
    <w:name w:val="Основной текст (2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7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0">
    <w:name w:val="Основной текст (7) + Verdana,7 pt"/>
    <w:basedOn w:val="CharStyle19"/>
    <w:rPr>
      <w:lang w:val="ru-RU" w:eastAsia="ru-RU" w:bidi="ru-RU"/>
      <w:sz w:val="14"/>
      <w:szCs w:val="14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22">
    <w:name w:val="Оглавлени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3">
    <w:name w:val="Оглавление + Verdana,7 pt"/>
    <w:basedOn w:val="CharStyle22"/>
    <w:rPr>
      <w:lang w:val="ru-RU" w:eastAsia="ru-RU" w:bidi="ru-RU"/>
      <w:sz w:val="14"/>
      <w:szCs w:val="14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24">
    <w:name w:val="Основной текст (2) +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780" w:line="26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before="120" w:after="18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  <w:spacing w:val="-10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spacing w:after="144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outlineLvl w:val="0"/>
      <w:spacing w:before="1440" w:after="1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jc w:val="both"/>
      <w:spacing w:line="230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Основной текст (7)"/>
    <w:basedOn w:val="Normal"/>
    <w:link w:val="CharStyle19"/>
    <w:pPr>
      <w:widowControl w:val="0"/>
      <w:shd w:val="clear" w:color="auto" w:fill="FFFFFF"/>
      <w:jc w:val="both"/>
      <w:spacing w:line="230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1">
    <w:name w:val="Оглавление"/>
    <w:basedOn w:val="Normal"/>
    <w:link w:val="CharStyle22"/>
    <w:pPr>
      <w:widowControl w:val="0"/>
      <w:shd w:val="clear" w:color="auto" w:fill="FFFFFF"/>
      <w:jc w:val="both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