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A6F" w:rsidRDefault="00F27A6F">
      <w:pPr>
        <w:pStyle w:val="a3"/>
        <w:kinsoku w:val="0"/>
        <w:overflowPunct w:val="0"/>
        <w:spacing w:before="5"/>
        <w:ind w:left="0"/>
        <w:rPr>
          <w:sz w:val="20"/>
          <w:szCs w:val="20"/>
        </w:rPr>
      </w:pPr>
    </w:p>
    <w:p w:rsidR="00F27A6F" w:rsidRDefault="00F27A6F">
      <w:pPr>
        <w:pStyle w:val="a3"/>
        <w:kinsoku w:val="0"/>
        <w:overflowPunct w:val="0"/>
        <w:spacing w:before="5"/>
        <w:ind w:left="0"/>
        <w:rPr>
          <w:sz w:val="20"/>
          <w:szCs w:val="20"/>
        </w:rPr>
        <w:sectPr w:rsidR="00F27A6F">
          <w:footerReference w:type="default" r:id="rId7"/>
          <w:pgSz w:w="11910" w:h="16840"/>
          <w:pgMar w:top="80" w:right="300" w:bottom="480" w:left="260" w:header="0" w:footer="292" w:gutter="0"/>
          <w:pgNumType w:start="1"/>
          <w:cols w:space="720"/>
          <w:noEndnote/>
        </w:sectPr>
      </w:pPr>
    </w:p>
    <w:p w:rsidR="00F27A6F" w:rsidRDefault="00F27A6F">
      <w:pPr>
        <w:pStyle w:val="a3"/>
        <w:kinsoku w:val="0"/>
        <w:overflowPunct w:val="0"/>
        <w:ind w:left="0"/>
        <w:rPr>
          <w:sz w:val="26"/>
          <w:szCs w:val="26"/>
        </w:rPr>
      </w:pPr>
    </w:p>
    <w:p w:rsidR="00F27A6F" w:rsidRDefault="00F27A6F">
      <w:pPr>
        <w:pStyle w:val="a3"/>
        <w:kinsoku w:val="0"/>
        <w:overflowPunct w:val="0"/>
        <w:ind w:left="0"/>
        <w:rPr>
          <w:sz w:val="26"/>
          <w:szCs w:val="26"/>
        </w:rPr>
      </w:pPr>
    </w:p>
    <w:p w:rsidR="00F27A6F" w:rsidRDefault="00F27A6F">
      <w:pPr>
        <w:pStyle w:val="a3"/>
        <w:kinsoku w:val="0"/>
        <w:overflowPunct w:val="0"/>
        <w:ind w:left="0"/>
        <w:rPr>
          <w:sz w:val="26"/>
          <w:szCs w:val="26"/>
        </w:rPr>
      </w:pPr>
    </w:p>
    <w:p w:rsidR="00F27A6F" w:rsidRDefault="00F27A6F">
      <w:pPr>
        <w:pStyle w:val="a3"/>
        <w:kinsoku w:val="0"/>
        <w:overflowPunct w:val="0"/>
        <w:ind w:left="0"/>
        <w:rPr>
          <w:sz w:val="26"/>
          <w:szCs w:val="26"/>
        </w:rPr>
      </w:pPr>
    </w:p>
    <w:p w:rsidR="00F27A6F" w:rsidRDefault="00F27A6F">
      <w:pPr>
        <w:pStyle w:val="a3"/>
        <w:kinsoku w:val="0"/>
        <w:overflowPunct w:val="0"/>
        <w:ind w:left="0"/>
        <w:rPr>
          <w:sz w:val="26"/>
          <w:szCs w:val="26"/>
        </w:rPr>
      </w:pPr>
    </w:p>
    <w:p w:rsidR="00F27A6F" w:rsidRDefault="00F27A6F">
      <w:pPr>
        <w:pStyle w:val="a3"/>
        <w:kinsoku w:val="0"/>
        <w:overflowPunct w:val="0"/>
        <w:ind w:left="0"/>
        <w:rPr>
          <w:sz w:val="26"/>
          <w:szCs w:val="26"/>
        </w:rPr>
      </w:pPr>
    </w:p>
    <w:p w:rsidR="00F27A6F" w:rsidRDefault="00F27A6F">
      <w:pPr>
        <w:pStyle w:val="a3"/>
        <w:kinsoku w:val="0"/>
        <w:overflowPunct w:val="0"/>
        <w:ind w:left="0"/>
        <w:rPr>
          <w:sz w:val="26"/>
          <w:szCs w:val="26"/>
        </w:rPr>
      </w:pPr>
    </w:p>
    <w:p w:rsidR="00F27A6F" w:rsidRDefault="00F27A6F">
      <w:pPr>
        <w:pStyle w:val="a3"/>
        <w:kinsoku w:val="0"/>
        <w:overflowPunct w:val="0"/>
        <w:ind w:left="0"/>
        <w:rPr>
          <w:sz w:val="26"/>
          <w:szCs w:val="26"/>
        </w:rPr>
      </w:pPr>
    </w:p>
    <w:p w:rsidR="00F27A6F" w:rsidRDefault="00F27A6F">
      <w:pPr>
        <w:pStyle w:val="a3"/>
        <w:kinsoku w:val="0"/>
        <w:overflowPunct w:val="0"/>
        <w:ind w:left="0"/>
        <w:rPr>
          <w:sz w:val="26"/>
          <w:szCs w:val="26"/>
        </w:rPr>
      </w:pPr>
    </w:p>
    <w:p w:rsidR="00F27A6F" w:rsidRDefault="00F27A6F">
      <w:pPr>
        <w:pStyle w:val="a3"/>
        <w:kinsoku w:val="0"/>
        <w:overflowPunct w:val="0"/>
        <w:ind w:left="0"/>
        <w:rPr>
          <w:sz w:val="26"/>
          <w:szCs w:val="26"/>
        </w:rPr>
      </w:pPr>
    </w:p>
    <w:p w:rsidR="00F27A6F" w:rsidRDefault="00F27A6F">
      <w:pPr>
        <w:pStyle w:val="a3"/>
        <w:kinsoku w:val="0"/>
        <w:overflowPunct w:val="0"/>
        <w:ind w:left="0"/>
        <w:rPr>
          <w:sz w:val="26"/>
          <w:szCs w:val="26"/>
        </w:rPr>
      </w:pPr>
    </w:p>
    <w:p w:rsidR="00F27A6F" w:rsidRDefault="00F27A6F">
      <w:pPr>
        <w:pStyle w:val="a3"/>
        <w:kinsoku w:val="0"/>
        <w:overflowPunct w:val="0"/>
        <w:ind w:left="0"/>
        <w:rPr>
          <w:sz w:val="26"/>
          <w:szCs w:val="26"/>
        </w:rPr>
      </w:pPr>
    </w:p>
    <w:p w:rsidR="00F27A6F" w:rsidRDefault="00F27A6F">
      <w:pPr>
        <w:pStyle w:val="a3"/>
        <w:kinsoku w:val="0"/>
        <w:overflowPunct w:val="0"/>
        <w:ind w:left="0"/>
        <w:rPr>
          <w:sz w:val="26"/>
          <w:szCs w:val="26"/>
        </w:rPr>
      </w:pPr>
    </w:p>
    <w:p w:rsidR="00F27A6F" w:rsidRDefault="00F27A6F">
      <w:pPr>
        <w:pStyle w:val="a3"/>
        <w:kinsoku w:val="0"/>
        <w:overflowPunct w:val="0"/>
        <w:ind w:left="0"/>
        <w:rPr>
          <w:sz w:val="26"/>
          <w:szCs w:val="26"/>
        </w:rPr>
      </w:pPr>
    </w:p>
    <w:p w:rsidR="00F27A6F" w:rsidRDefault="00F27A6F">
      <w:pPr>
        <w:pStyle w:val="a3"/>
        <w:kinsoku w:val="0"/>
        <w:overflowPunct w:val="0"/>
        <w:ind w:left="0"/>
        <w:rPr>
          <w:sz w:val="26"/>
          <w:szCs w:val="26"/>
        </w:rPr>
      </w:pPr>
    </w:p>
    <w:p w:rsidR="00F27A6F" w:rsidRDefault="00F27A6F">
      <w:pPr>
        <w:pStyle w:val="a3"/>
        <w:kinsoku w:val="0"/>
        <w:overflowPunct w:val="0"/>
        <w:ind w:left="0"/>
        <w:rPr>
          <w:sz w:val="26"/>
          <w:szCs w:val="26"/>
        </w:rPr>
      </w:pPr>
    </w:p>
    <w:p w:rsidR="00F27A6F" w:rsidRDefault="00F27A6F">
      <w:pPr>
        <w:pStyle w:val="a3"/>
        <w:kinsoku w:val="0"/>
        <w:overflowPunct w:val="0"/>
        <w:spacing w:before="2"/>
        <w:ind w:left="0"/>
        <w:rPr>
          <w:sz w:val="33"/>
          <w:szCs w:val="33"/>
        </w:rPr>
      </w:pPr>
    </w:p>
    <w:p w:rsidR="00F27A6F" w:rsidRDefault="00362D5D">
      <w:pPr>
        <w:pStyle w:val="a3"/>
        <w:kinsoku w:val="0"/>
        <w:overflowPunct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241300</wp:posOffset>
                </wp:positionH>
                <wp:positionV relativeFrom="paragraph">
                  <wp:posOffset>-3433445</wp:posOffset>
                </wp:positionV>
                <wp:extent cx="1905000" cy="328930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328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7A6F" w:rsidRDefault="00F27A6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19pt;margin-top:-270.35pt;width:150pt;height:25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" o:allowincell="f" filled="f" stroked="f">
                <v:textbox inset="0,0,0,0">
                  <w:txbxContent>
                    <w:p w:rsidR="00F27A6F" w:rsidRDefault="00F27A6F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C438CF">
        <w:t>«31» июля 2021г.</w:t>
      </w:r>
    </w:p>
    <w:p w:rsidR="00F27A6F" w:rsidRDefault="00C438CF">
      <w:pPr>
        <w:pStyle w:val="1"/>
        <w:kinsoku w:val="0"/>
        <w:overflowPunct w:val="0"/>
        <w:ind w:right="126"/>
        <w:jc w:val="right"/>
      </w:pPr>
      <w:r>
        <w:rPr>
          <w:b w:val="0"/>
          <w:bCs w:val="0"/>
        </w:rPr>
        <w:br w:type="column"/>
      </w:r>
      <w:r>
        <w:lastRenderedPageBreak/>
        <w:t>Управление Федеральной антимонопольной службы</w:t>
      </w:r>
    </w:p>
    <w:p w:rsidR="00F27A6F" w:rsidRDefault="00C438CF">
      <w:pPr>
        <w:pStyle w:val="a3"/>
        <w:kinsoku w:val="0"/>
        <w:overflowPunct w:val="0"/>
        <w:spacing w:before="41" w:line="273" w:lineRule="auto"/>
        <w:ind w:left="2266" w:right="110" w:firstLine="1459"/>
        <w:jc w:val="right"/>
        <w:rPr>
          <w:color w:val="000000"/>
        </w:rPr>
      </w:pPr>
      <w:r>
        <w:rPr>
          <w:b/>
          <w:bCs/>
        </w:rPr>
        <w:t xml:space="preserve">по Курской области </w:t>
      </w:r>
      <w:r>
        <w:t xml:space="preserve">305000, г. Курск ул. Марата 9 </w:t>
      </w:r>
      <w:hyperlink r:id="rId8" w:history="1">
        <w:r>
          <w:rPr>
            <w:color w:val="0000FF"/>
            <w:u w:val="single"/>
          </w:rPr>
          <w:t>www.kursk.fas.gov.ru</w:t>
        </w:r>
      </w:hyperlink>
      <w:r>
        <w:rPr>
          <w:color w:val="0000FF"/>
        </w:rPr>
        <w:t xml:space="preserve"> </w:t>
      </w:r>
      <w:hyperlink r:id="rId9" w:history="1">
        <w:r>
          <w:rPr>
            <w:color w:val="0000FF"/>
            <w:u w:val="single"/>
          </w:rPr>
          <w:t>to46@fas.gov.ru</w:t>
        </w:r>
      </w:hyperlink>
      <w:r>
        <w:rPr>
          <w:color w:val="0000FF"/>
        </w:rPr>
        <w:t xml:space="preserve">  </w:t>
      </w:r>
      <w:r>
        <w:rPr>
          <w:color w:val="000000"/>
        </w:rPr>
        <w:t>+7 (4712) 70-08-15</w:t>
      </w:r>
    </w:p>
    <w:p w:rsidR="00F27A6F" w:rsidRDefault="00C438CF">
      <w:pPr>
        <w:pStyle w:val="a3"/>
        <w:kinsoku w:val="0"/>
        <w:overflowPunct w:val="0"/>
        <w:spacing w:before="9" w:line="276" w:lineRule="auto"/>
        <w:ind w:left="268" w:right="112" w:firstLine="4878"/>
        <w:jc w:val="right"/>
      </w:pPr>
      <w:r>
        <w:rPr>
          <w:b/>
          <w:bCs/>
        </w:rPr>
        <w:t xml:space="preserve">копия: </w:t>
      </w:r>
      <w:r>
        <w:t>Организатору торгов- ООО «КАУ» (ИНН 4632227451) 305018, г. Курск, ул. Обоянская, д. 19, оф. 4</w:t>
      </w:r>
    </w:p>
    <w:p w:rsidR="00F27A6F" w:rsidRDefault="000D4CB6">
      <w:pPr>
        <w:pStyle w:val="a3"/>
        <w:kinsoku w:val="0"/>
        <w:overflowPunct w:val="0"/>
        <w:spacing w:line="275" w:lineRule="exact"/>
        <w:ind w:left="0" w:right="119"/>
        <w:jc w:val="right"/>
      </w:pPr>
      <w:hyperlink r:id="rId10" w:history="1">
        <w:r w:rsidR="00C438CF">
          <w:t xml:space="preserve">nedcon@mail.ru, </w:t>
        </w:r>
      </w:hyperlink>
      <w:r w:rsidR="00C438CF">
        <w:t>тел. +79154223479</w:t>
      </w:r>
    </w:p>
    <w:p w:rsidR="00F27A6F" w:rsidRDefault="00C438CF">
      <w:pPr>
        <w:pStyle w:val="1"/>
        <w:kinsoku w:val="0"/>
        <w:overflowPunct w:val="0"/>
        <w:spacing w:before="46"/>
        <w:ind w:right="117"/>
        <w:jc w:val="right"/>
      </w:pPr>
      <w:r>
        <w:t>от</w:t>
      </w:r>
    </w:p>
    <w:p w:rsidR="00F27A6F" w:rsidRDefault="00C438CF" w:rsidP="00362D5D">
      <w:pPr>
        <w:pStyle w:val="a3"/>
        <w:kinsoku w:val="0"/>
        <w:overflowPunct w:val="0"/>
        <w:spacing w:before="36" w:line="276" w:lineRule="auto"/>
        <w:ind w:left="786" w:right="113" w:firstLine="3404"/>
        <w:jc w:val="right"/>
        <w:sectPr w:rsidR="00F27A6F">
          <w:type w:val="continuous"/>
          <w:pgSz w:w="11910" w:h="16840"/>
          <w:pgMar w:top="80" w:right="300" w:bottom="480" w:left="260" w:header="720" w:footer="720" w:gutter="0"/>
          <w:cols w:num="2" w:space="720" w:equalWidth="0">
            <w:col w:w="3158" w:space="2177"/>
            <w:col w:w="6015"/>
          </w:cols>
          <w:noEndnote/>
        </w:sectPr>
      </w:pPr>
      <w:r>
        <w:t>Г</w:t>
      </w:r>
      <w:r w:rsidR="00362D5D">
        <w:t>.</w:t>
      </w:r>
      <w:r>
        <w:t xml:space="preserve">А.В. </w:t>
      </w:r>
    </w:p>
    <w:p w:rsidR="00F27A6F" w:rsidRDefault="00F27A6F">
      <w:pPr>
        <w:pStyle w:val="a3"/>
        <w:kinsoku w:val="0"/>
        <w:overflowPunct w:val="0"/>
        <w:spacing w:before="9"/>
        <w:ind w:left="0"/>
        <w:rPr>
          <w:sz w:val="23"/>
          <w:szCs w:val="23"/>
        </w:rPr>
      </w:pPr>
    </w:p>
    <w:p w:rsidR="00F27A6F" w:rsidRDefault="00C438CF">
      <w:pPr>
        <w:pStyle w:val="1"/>
        <w:kinsoku w:val="0"/>
        <w:overflowPunct w:val="0"/>
        <w:ind w:left="5410" w:right="4790"/>
        <w:jc w:val="center"/>
      </w:pPr>
      <w:r>
        <w:t>ЖАЛОБА</w:t>
      </w:r>
    </w:p>
    <w:p w:rsidR="00F27A6F" w:rsidRDefault="00C438CF">
      <w:pPr>
        <w:pStyle w:val="a3"/>
        <w:kinsoku w:val="0"/>
        <w:overflowPunct w:val="0"/>
        <w:spacing w:before="41"/>
        <w:ind w:left="2409"/>
        <w:rPr>
          <w:b/>
          <w:bCs/>
        </w:rPr>
      </w:pPr>
      <w:r>
        <w:rPr>
          <w:b/>
          <w:bCs/>
        </w:rPr>
        <w:t>в порядке ст. 18.1 ФЗ-135 от 26.07.2006г. "О защите конкуренции"</w:t>
      </w:r>
    </w:p>
    <w:p w:rsidR="00F27A6F" w:rsidRDefault="00F27A6F">
      <w:pPr>
        <w:pStyle w:val="a3"/>
        <w:kinsoku w:val="0"/>
        <w:overflowPunct w:val="0"/>
        <w:spacing w:before="7"/>
        <w:ind w:left="0"/>
        <w:rPr>
          <w:b/>
          <w:bCs/>
          <w:sz w:val="30"/>
          <w:szCs w:val="30"/>
        </w:rPr>
      </w:pPr>
    </w:p>
    <w:p w:rsidR="00F27A6F" w:rsidRDefault="00C438CF">
      <w:pPr>
        <w:pStyle w:val="a5"/>
        <w:numPr>
          <w:ilvl w:val="2"/>
          <w:numId w:val="2"/>
        </w:numPr>
        <w:tabs>
          <w:tab w:val="left" w:pos="1656"/>
          <w:tab w:val="left" w:pos="2147"/>
        </w:tabs>
        <w:kinsoku w:val="0"/>
        <w:overflowPunct w:val="0"/>
        <w:spacing w:line="278" w:lineRule="auto"/>
        <w:ind w:right="102" w:firstLine="566"/>
        <w:jc w:val="both"/>
        <w:rPr>
          <w:b/>
          <w:bCs/>
        </w:rPr>
      </w:pPr>
      <w:r>
        <w:t>г. на портале ЕФРСБ опубликовано сообщение № 6962706 о проведении торгов по про- даже имущества Должника- Ю</w:t>
      </w:r>
      <w:r w:rsidR="00362D5D">
        <w:t>.</w:t>
      </w:r>
      <w:r>
        <w:t>А</w:t>
      </w:r>
      <w:r w:rsidR="00362D5D">
        <w:t>.</w:t>
      </w:r>
      <w:r>
        <w:t>А</w:t>
      </w:r>
      <w:r w:rsidR="00362D5D">
        <w:t>.</w:t>
      </w:r>
      <w:r>
        <w:t xml:space="preserve">,  в  т.ч.  </w:t>
      </w:r>
      <w:r>
        <w:rPr>
          <w:b/>
          <w:bCs/>
        </w:rPr>
        <w:t>лот 2-</w:t>
      </w:r>
      <w:r>
        <w:rPr>
          <w:b/>
          <w:bCs/>
        </w:rPr>
        <w:tab/>
        <w:t>Машиноместо, назначение нежилое, площадь 16,4 кв.м, кадастровый номер 77:09:0005007:7936, адрес: г.Москва, бульв. Ходынский, д. 5, корп.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3</w:t>
      </w:r>
    </w:p>
    <w:p w:rsidR="00F27A6F" w:rsidRDefault="00C438CF">
      <w:pPr>
        <w:pStyle w:val="a3"/>
        <w:kinsoku w:val="0"/>
        <w:overflowPunct w:val="0"/>
        <w:spacing w:line="268" w:lineRule="exact"/>
        <w:ind w:left="1300"/>
      </w:pPr>
      <w:r>
        <w:t>Организатор торгов- ООО «КАУ» (ИНН 4632227451) 305018, г. Курск, ул. Обоянская, д. 19, оф.</w:t>
      </w:r>
    </w:p>
    <w:p w:rsidR="00F27A6F" w:rsidRDefault="00C438CF">
      <w:pPr>
        <w:pStyle w:val="a3"/>
        <w:kinsoku w:val="0"/>
        <w:overflowPunct w:val="0"/>
        <w:spacing w:before="41"/>
      </w:pPr>
      <w:r>
        <w:t xml:space="preserve">4, </w:t>
      </w:r>
      <w:hyperlink r:id="rId11" w:history="1">
        <w:r>
          <w:t xml:space="preserve">nedcon@mail.ru, </w:t>
        </w:r>
      </w:hyperlink>
      <w:r>
        <w:t>тел. +79154223479</w:t>
      </w:r>
    </w:p>
    <w:p w:rsidR="00F27A6F" w:rsidRDefault="00C438CF">
      <w:pPr>
        <w:pStyle w:val="a3"/>
        <w:kinsoku w:val="0"/>
        <w:overflowPunct w:val="0"/>
        <w:spacing w:before="41" w:line="276" w:lineRule="auto"/>
        <w:ind w:right="125" w:firstLine="566"/>
        <w:jc w:val="both"/>
      </w:pPr>
      <w:r>
        <w:t>Торги проводятся на электронной торговой площадке ООО «ЮТендер» в сети интернет (www.utender.ru), идентификационный номер 51306.</w:t>
      </w:r>
    </w:p>
    <w:p w:rsidR="00F27A6F" w:rsidRDefault="00C438CF">
      <w:pPr>
        <w:pStyle w:val="a3"/>
        <w:kinsoku w:val="0"/>
        <w:overflowPunct w:val="0"/>
        <w:spacing w:line="275" w:lineRule="exact"/>
        <w:ind w:left="1300"/>
      </w:pPr>
      <w:r>
        <w:t>Согласно сообщению на ЕФРСБ:</w:t>
      </w:r>
    </w:p>
    <w:p w:rsidR="00F27A6F" w:rsidRDefault="00C438CF">
      <w:pPr>
        <w:pStyle w:val="a5"/>
        <w:numPr>
          <w:ilvl w:val="0"/>
          <w:numId w:val="1"/>
        </w:numPr>
        <w:tabs>
          <w:tab w:val="left" w:pos="883"/>
        </w:tabs>
        <w:kinsoku w:val="0"/>
        <w:overflowPunct w:val="0"/>
        <w:spacing w:before="41" w:line="276" w:lineRule="auto"/>
        <w:ind w:firstLine="0"/>
        <w:jc w:val="both"/>
      </w:pPr>
      <w:r>
        <w:t xml:space="preserve">прием заявок на интервалах публичного предложения осуществляется с 09.00 часов (МСК) первого дня соответствующего интервала </w:t>
      </w:r>
      <w:r>
        <w:rPr>
          <w:spacing w:val="-4"/>
        </w:rPr>
        <w:t xml:space="preserve">до </w:t>
      </w:r>
      <w:r>
        <w:t>18.00 часов (МСК) последнего дня соответствующего</w:t>
      </w:r>
      <w:r>
        <w:rPr>
          <w:spacing w:val="-20"/>
        </w:rPr>
        <w:t xml:space="preserve"> </w:t>
      </w:r>
      <w:r>
        <w:t>интервала.</w:t>
      </w:r>
    </w:p>
    <w:p w:rsidR="00F27A6F" w:rsidRDefault="00C438CF">
      <w:pPr>
        <w:pStyle w:val="a5"/>
        <w:numPr>
          <w:ilvl w:val="0"/>
          <w:numId w:val="1"/>
        </w:numPr>
        <w:tabs>
          <w:tab w:val="left" w:pos="912"/>
        </w:tabs>
        <w:kinsoku w:val="0"/>
        <w:overflowPunct w:val="0"/>
        <w:spacing w:before="4" w:line="276" w:lineRule="auto"/>
        <w:ind w:right="115" w:firstLine="0"/>
        <w:jc w:val="both"/>
      </w:pPr>
      <w:r>
        <w:t xml:space="preserve">заявка на участие в торгах должна быть оформлена в электронном виде и содержать сведения с приложением документов, указанные в п. 11 ст. 110 ФЗ </w:t>
      </w:r>
      <w:r>
        <w:rPr>
          <w:spacing w:val="-3"/>
        </w:rPr>
        <w:t xml:space="preserve">«О </w:t>
      </w:r>
      <w:r>
        <w:t>несостоятельности</w:t>
      </w:r>
      <w:r>
        <w:rPr>
          <w:spacing w:val="-3"/>
        </w:rPr>
        <w:t xml:space="preserve"> </w:t>
      </w:r>
      <w:r>
        <w:t>(банкротстве)»,</w:t>
      </w:r>
    </w:p>
    <w:p w:rsidR="00F27A6F" w:rsidRDefault="00C438CF">
      <w:pPr>
        <w:pStyle w:val="a5"/>
        <w:numPr>
          <w:ilvl w:val="0"/>
          <w:numId w:val="1"/>
        </w:numPr>
        <w:tabs>
          <w:tab w:val="left" w:pos="903"/>
        </w:tabs>
        <w:kinsoku w:val="0"/>
        <w:overflowPunct w:val="0"/>
        <w:spacing w:line="276" w:lineRule="auto"/>
        <w:ind w:firstLine="0"/>
        <w:jc w:val="both"/>
      </w:pPr>
      <w:r>
        <w:t xml:space="preserve">претенденты, выразившие намерение участвовать в торгах, оплачивают задаток путем перечисле- ния денежных средств на расчетный счет организатора торгов: получатель- ООО «КАУ», ИНН 4632227451, КПП 463201001, р/сч 40702810032290000208, БИК 043807798 к/сч 30101810700000000798 в </w:t>
      </w:r>
      <w:r>
        <w:rPr>
          <w:spacing w:val="-3"/>
        </w:rPr>
        <w:t>АО</w:t>
      </w:r>
      <w:r>
        <w:rPr>
          <w:spacing w:val="5"/>
        </w:rPr>
        <w:t xml:space="preserve"> </w:t>
      </w:r>
      <w:r>
        <w:t>«Россельхозбанк».</w:t>
      </w:r>
    </w:p>
    <w:p w:rsidR="00F27A6F" w:rsidRDefault="00F27A6F">
      <w:pPr>
        <w:pStyle w:val="a3"/>
        <w:kinsoku w:val="0"/>
        <w:overflowPunct w:val="0"/>
        <w:spacing w:before="3"/>
        <w:ind w:left="0"/>
        <w:rPr>
          <w:sz w:val="27"/>
          <w:szCs w:val="27"/>
        </w:rPr>
      </w:pPr>
    </w:p>
    <w:p w:rsidR="00F27A6F" w:rsidRDefault="00C438CF">
      <w:pPr>
        <w:pStyle w:val="a3"/>
        <w:kinsoku w:val="0"/>
        <w:overflowPunct w:val="0"/>
        <w:spacing w:line="278" w:lineRule="auto"/>
        <w:ind w:right="102" w:firstLine="566"/>
        <w:jc w:val="both"/>
      </w:pPr>
      <w:r>
        <w:t>30.07.2021г. между П</w:t>
      </w:r>
      <w:r w:rsidR="00362D5D">
        <w:t>.</w:t>
      </w:r>
      <w:r>
        <w:t>А.С. (Принципал) и Г</w:t>
      </w:r>
      <w:r w:rsidR="00362D5D">
        <w:t>.</w:t>
      </w:r>
      <w:r>
        <w:t>А.В. (Агент) заключен Дого- вор № 30/07-1 согласно которому, Агент от имени Принципала размещает заявку на покупку выше указанного лота.</w:t>
      </w:r>
    </w:p>
    <w:p w:rsidR="00F27A6F" w:rsidRDefault="00C438CF">
      <w:pPr>
        <w:pStyle w:val="a3"/>
        <w:kinsoku w:val="0"/>
        <w:overflowPunct w:val="0"/>
        <w:spacing w:line="276" w:lineRule="auto"/>
        <w:ind w:right="111" w:firstLine="566"/>
        <w:jc w:val="both"/>
      </w:pPr>
      <w:r>
        <w:t>30.07.2021г. Принципал- П</w:t>
      </w:r>
      <w:r w:rsidR="00362D5D">
        <w:t>.</w:t>
      </w:r>
      <w:r>
        <w:t>А.С.- оплачивает задаток за участие в торгах, согласно кон- курсной документации. Платежное поручение прилагается.</w:t>
      </w:r>
    </w:p>
    <w:p w:rsidR="00F27A6F" w:rsidRDefault="00C438CF">
      <w:pPr>
        <w:pStyle w:val="a3"/>
        <w:kinsoku w:val="0"/>
        <w:overflowPunct w:val="0"/>
        <w:spacing w:line="276" w:lineRule="auto"/>
        <w:ind w:right="115" w:firstLine="566"/>
        <w:jc w:val="both"/>
      </w:pPr>
      <w:r>
        <w:t>31.07.2021г. в 07:50 мск Агентом- Г</w:t>
      </w:r>
      <w:r w:rsidR="00362D5D">
        <w:t>.</w:t>
      </w:r>
      <w:r>
        <w:t xml:space="preserve">А.В.- на ЭТП «Ютендер» размещена и принята Заявка на участие в торгах. К Заявке, согласно п.11 ст. 110 ФЗ </w:t>
      </w:r>
      <w:r>
        <w:rPr>
          <w:spacing w:val="-3"/>
        </w:rPr>
        <w:t xml:space="preserve">«О </w:t>
      </w:r>
      <w:r>
        <w:t>несостоятельности (банкротстве)»  и требованиям конкурсной документации приложены: копия паспорта Заявителя- Г</w:t>
      </w:r>
      <w:r w:rsidR="00362D5D">
        <w:t>.</w:t>
      </w:r>
      <w:r>
        <w:t>А.В., копия паспорта Принципала П</w:t>
      </w:r>
      <w:r w:rsidR="00362D5D">
        <w:t>.</w:t>
      </w:r>
      <w:r>
        <w:t>А.С., Агентский договор между П</w:t>
      </w:r>
      <w:r w:rsidR="00362D5D">
        <w:t>.</w:t>
      </w:r>
      <w:r>
        <w:t xml:space="preserve">А.С. и </w:t>
      </w:r>
      <w:r>
        <w:rPr>
          <w:spacing w:val="-3"/>
        </w:rPr>
        <w:t>Г</w:t>
      </w:r>
      <w:r w:rsidR="00362D5D">
        <w:rPr>
          <w:spacing w:val="-3"/>
        </w:rPr>
        <w:t>.</w:t>
      </w:r>
      <w:r>
        <w:t>А.В., Платежное поручение на оплату Задатка с отметкой Банка об</w:t>
      </w:r>
      <w:r>
        <w:rPr>
          <w:spacing w:val="-8"/>
        </w:rPr>
        <w:t xml:space="preserve"> </w:t>
      </w:r>
      <w:r>
        <w:t>исполнении.</w:t>
      </w:r>
    </w:p>
    <w:p w:rsidR="00F27A6F" w:rsidRDefault="00C438CF">
      <w:pPr>
        <w:pStyle w:val="1"/>
        <w:kinsoku w:val="0"/>
        <w:overflowPunct w:val="0"/>
        <w:spacing w:before="1"/>
        <w:ind w:left="1300"/>
      </w:pPr>
      <w:r>
        <w:t>Заявка подана с ценовым предложением за лот- 1’420’000 рублей.</w:t>
      </w:r>
    </w:p>
    <w:p w:rsidR="00F27A6F" w:rsidRDefault="00F27A6F">
      <w:pPr>
        <w:pStyle w:val="1"/>
        <w:kinsoku w:val="0"/>
        <w:overflowPunct w:val="0"/>
        <w:spacing w:before="1"/>
        <w:ind w:left="1300"/>
        <w:sectPr w:rsidR="00F27A6F">
          <w:type w:val="continuous"/>
          <w:pgSz w:w="11910" w:h="16840"/>
          <w:pgMar w:top="80" w:right="300" w:bottom="480" w:left="260" w:header="720" w:footer="720" w:gutter="0"/>
          <w:cols w:space="720" w:equalWidth="0">
            <w:col w:w="11350"/>
          </w:cols>
          <w:noEndnote/>
        </w:sectPr>
      </w:pPr>
    </w:p>
    <w:p w:rsidR="00F27A6F" w:rsidRDefault="00C438CF">
      <w:pPr>
        <w:pStyle w:val="a3"/>
        <w:kinsoku w:val="0"/>
        <w:overflowPunct w:val="0"/>
        <w:spacing w:before="60" w:line="276" w:lineRule="auto"/>
        <w:ind w:right="113" w:firstLine="566"/>
        <w:jc w:val="both"/>
      </w:pPr>
      <w:r>
        <w:lastRenderedPageBreak/>
        <w:t>31.07.2021г. в 08:38 мск организатор торгов- ООО "КАУ"- на ЭТП размещает Протокол об определении участников торгов. Согласно Протоколу, Заявка Г</w:t>
      </w:r>
      <w:r w:rsidR="00362D5D">
        <w:t>.</w:t>
      </w:r>
      <w:r>
        <w:t>А.В. не допущена к торгам по причине- «Поступление задатка на счета, указанные в сообщении о проведении торгов, не под- тверждено на дату составления протокола об определении участников торгов».</w:t>
      </w:r>
    </w:p>
    <w:p w:rsidR="00F27A6F" w:rsidRDefault="00C438CF">
      <w:pPr>
        <w:pStyle w:val="a3"/>
        <w:kinsoku w:val="0"/>
        <w:overflowPunct w:val="0"/>
        <w:spacing w:line="276" w:lineRule="auto"/>
        <w:ind w:right="118" w:firstLine="566"/>
        <w:jc w:val="both"/>
      </w:pPr>
      <w:r>
        <w:t xml:space="preserve">31.07.2021г. в 08:41 мск. Организатор торгов- ООО "КАУ"- на ЭТП размещает Протокол торгов по лоту 2. </w:t>
      </w:r>
      <w:r>
        <w:rPr>
          <w:b/>
          <w:bCs/>
        </w:rPr>
        <w:t>Согласно Протоколу, победителем торгов признан участник с ценовым предложени- ем 1’406’000 рублей</w:t>
      </w:r>
      <w:r>
        <w:t>.</w:t>
      </w:r>
    </w:p>
    <w:p w:rsidR="00F27A6F" w:rsidRDefault="00F27A6F">
      <w:pPr>
        <w:pStyle w:val="a3"/>
        <w:kinsoku w:val="0"/>
        <w:overflowPunct w:val="0"/>
        <w:spacing w:before="8"/>
        <w:ind w:left="0"/>
        <w:rPr>
          <w:sz w:val="27"/>
          <w:szCs w:val="27"/>
        </w:rPr>
      </w:pPr>
    </w:p>
    <w:p w:rsidR="00F27A6F" w:rsidRDefault="00C438CF">
      <w:pPr>
        <w:pStyle w:val="a3"/>
        <w:kinsoku w:val="0"/>
        <w:overflowPunct w:val="0"/>
        <w:spacing w:before="1" w:line="276" w:lineRule="auto"/>
        <w:ind w:right="107" w:firstLine="566"/>
        <w:jc w:val="both"/>
      </w:pPr>
      <w:r>
        <w:t>Организатором торгов неправомерно не была допущена к торгам Заявка Г</w:t>
      </w:r>
      <w:r w:rsidR="00362D5D">
        <w:t>.</w:t>
      </w:r>
      <w:r>
        <w:t>А.В., по- данная во исполнение Агентского договора, и в соответствие с конкурсной документацией, по сле- дующим основаниям:</w:t>
      </w:r>
    </w:p>
    <w:p w:rsidR="00F27A6F" w:rsidRDefault="00C438CF">
      <w:pPr>
        <w:pStyle w:val="a3"/>
        <w:kinsoku w:val="0"/>
        <w:overflowPunct w:val="0"/>
        <w:spacing w:line="276" w:lineRule="auto"/>
        <w:ind w:right="118" w:firstLine="566"/>
        <w:jc w:val="both"/>
      </w:pPr>
      <w:r>
        <w:t>Задаток оплачен в соответствие с конкурсной документацией 30.07.2021г. Платежное поруче- ние предоставлено организатору торгов вместе с поданной Заявкой.</w:t>
      </w:r>
    </w:p>
    <w:p w:rsidR="00F27A6F" w:rsidRDefault="00C438CF">
      <w:pPr>
        <w:pStyle w:val="a3"/>
        <w:kinsoku w:val="0"/>
        <w:overflowPunct w:val="0"/>
        <w:spacing w:line="276" w:lineRule="auto"/>
        <w:ind w:right="111" w:firstLine="566"/>
        <w:jc w:val="both"/>
      </w:pPr>
      <w:r>
        <w:t>Организатор торгов в 08:38 мск 31.07.2021г. (суббота) не мог установить факт поступления за- датка на расчетный счет ООО «КАУ», ИНН 4632227451, р/сч 40702810032290000208 в АО «Россель- хозбанк». Факт поступления денежных средств на расчетный счет организатора торгов может быть установлен по выписке из Банка. По действующим правилам АО «Россельхозбанк» выписка по бан- ковскому счету юридического лица за 30.07.2021г. (пятница) предоставляется следующим рабочим днем, т.е. 02.08.2021г. (понедельник).</w:t>
      </w:r>
    </w:p>
    <w:p w:rsidR="00F27A6F" w:rsidRDefault="00F27A6F">
      <w:pPr>
        <w:pStyle w:val="a3"/>
        <w:kinsoku w:val="0"/>
        <w:overflowPunct w:val="0"/>
        <w:spacing w:before="5"/>
        <w:ind w:left="0"/>
        <w:rPr>
          <w:sz w:val="27"/>
          <w:szCs w:val="27"/>
        </w:rPr>
      </w:pPr>
    </w:p>
    <w:p w:rsidR="00F27A6F" w:rsidRDefault="00C438CF">
      <w:pPr>
        <w:pStyle w:val="a3"/>
        <w:kinsoku w:val="0"/>
        <w:overflowPunct w:val="0"/>
        <w:spacing w:line="276" w:lineRule="auto"/>
        <w:ind w:right="116" w:firstLine="566"/>
        <w:jc w:val="both"/>
      </w:pPr>
      <w:r>
        <w:t>В соответствии с нормами главы VII Закона о банкротстве основной целью конкурсного произ- водства как ликвидационной процедуры является получение максимального экономического эффекта при удовлетворении требований кредиторов должника, что достигается, в первую очередь, через процедуру торгов, направленную на реализацию принадлежащего должнику имущества по наиболее высокой цене в пределах разумного временного периода.</w:t>
      </w:r>
    </w:p>
    <w:p w:rsidR="00F27A6F" w:rsidRDefault="00C438CF">
      <w:pPr>
        <w:pStyle w:val="a3"/>
        <w:kinsoku w:val="0"/>
        <w:overflowPunct w:val="0"/>
        <w:spacing w:before="3" w:line="276" w:lineRule="auto"/>
        <w:ind w:right="111" w:firstLine="566"/>
        <w:jc w:val="both"/>
      </w:pPr>
      <w:r>
        <w:t>Торги являются конкурентной формой определения наиболее лучших условий за продаваемое имущество и в них имеет право принять участие любой желающий из неопределенного круга лиц (в том числе физические лица, не являющиеся профессиональными субъектами делового оборота), сле- довательно, при установлении срока внесения задатка должны учитываться банковские правила дви- жения денежных средств (о которых потенциальные участники не обязаны быть осведомлены) в це- лях обеспечения поступления задатка на специальный счет, используемый для проведения торгов, на момент составления протокола об определении участников торгов.</w:t>
      </w:r>
    </w:p>
    <w:p w:rsidR="00F27A6F" w:rsidRDefault="00C438CF">
      <w:pPr>
        <w:pStyle w:val="a3"/>
        <w:kinsoku w:val="0"/>
        <w:overflowPunct w:val="0"/>
        <w:spacing w:before="1" w:line="276" w:lineRule="auto"/>
        <w:ind w:right="113" w:firstLine="566"/>
        <w:jc w:val="both"/>
      </w:pPr>
      <w:r>
        <w:t>Следовательно, исполняя возложенную на него обязанность, организатор торгов должен опре- делить такой срок внесения задатка, чтобы между этой датой и датой составления протокола об определении участников торгов существовал (вызванный объективными факторами) разумный вре- менной разрыв, способствующий получению организатором торгов на дату составления протокола актуальной информации по всем лицам, изъявившим волю принять участие в торгах и внесшим зада- ток.</w:t>
      </w:r>
    </w:p>
    <w:p w:rsidR="00F27A6F" w:rsidRDefault="00C438CF">
      <w:pPr>
        <w:pStyle w:val="a3"/>
        <w:kinsoku w:val="0"/>
        <w:overflowPunct w:val="0"/>
        <w:spacing w:line="276" w:lineRule="auto"/>
        <w:ind w:right="115" w:firstLine="566"/>
        <w:jc w:val="both"/>
      </w:pPr>
      <w:r>
        <w:t>Наибольшее количество участвующих в торгах лиц, проявивших интерес к отчуждаемому имуществу путем подачи заявки, способно увеличить как уровень конкуренции между участниками, так и итоговую цену за продаваемое имущество, что в конечном счете повышает степень погашения требований кредиторов должника.</w:t>
      </w:r>
    </w:p>
    <w:p w:rsidR="00F27A6F" w:rsidRDefault="00C438CF">
      <w:pPr>
        <w:pStyle w:val="a3"/>
        <w:kinsoku w:val="0"/>
        <w:overflowPunct w:val="0"/>
        <w:spacing w:line="276" w:lineRule="auto"/>
        <w:ind w:right="113" w:firstLine="566"/>
        <w:jc w:val="both"/>
      </w:pPr>
      <w:r>
        <w:t>Действуя разумно и добросовестно, в целях обеспечения равных прав и соблюдения законных интересов всех потенциальных покупателей, организатор торгов должен способствовать формирова- нию наибольшего по количеству состава участников торгов.</w:t>
      </w:r>
    </w:p>
    <w:p w:rsidR="00F27A6F" w:rsidRDefault="00C438CF">
      <w:pPr>
        <w:pStyle w:val="a3"/>
        <w:kinsoku w:val="0"/>
        <w:overflowPunct w:val="0"/>
        <w:spacing w:line="276" w:lineRule="auto"/>
        <w:ind w:right="117" w:firstLine="566"/>
        <w:jc w:val="both"/>
      </w:pPr>
      <w:r>
        <w:t>Отсечение претендентов на стадии определения участников торгов по формальным основаниям не соответствует ни целям реализации имущества должника, ни целям конкурсного производства, в связи с чем торги и заключенный по их итогам договор подлежат признанию недействительными.</w:t>
      </w:r>
    </w:p>
    <w:p w:rsidR="00F27A6F" w:rsidRDefault="00C438CF">
      <w:pPr>
        <w:pStyle w:val="a3"/>
        <w:kinsoku w:val="0"/>
        <w:overflowPunct w:val="0"/>
        <w:spacing w:line="280" w:lineRule="auto"/>
        <w:ind w:right="102" w:firstLine="566"/>
        <w:jc w:val="both"/>
      </w:pPr>
      <w:r>
        <w:t>Выводы в части оснований для признания торгов недействительными в случае нарушения по- рядка внесения задатков для участия в торгах придерживаются арбитражные суды Московского</w:t>
      </w:r>
    </w:p>
    <w:p w:rsidR="00F27A6F" w:rsidRDefault="00F27A6F">
      <w:pPr>
        <w:pStyle w:val="a3"/>
        <w:kinsoku w:val="0"/>
        <w:overflowPunct w:val="0"/>
        <w:spacing w:line="280" w:lineRule="auto"/>
        <w:ind w:right="102" w:firstLine="566"/>
        <w:jc w:val="both"/>
        <w:sectPr w:rsidR="00F27A6F">
          <w:pgSz w:w="11910" w:h="16840"/>
          <w:pgMar w:top="340" w:right="300" w:bottom="480" w:left="260" w:header="0" w:footer="292" w:gutter="0"/>
          <w:cols w:space="720"/>
          <w:noEndnote/>
        </w:sectPr>
      </w:pPr>
    </w:p>
    <w:p w:rsidR="00F27A6F" w:rsidRDefault="00C438CF">
      <w:pPr>
        <w:pStyle w:val="a3"/>
        <w:kinsoku w:val="0"/>
        <w:overflowPunct w:val="0"/>
        <w:spacing w:before="60" w:line="276" w:lineRule="auto"/>
        <w:ind w:right="107"/>
        <w:jc w:val="both"/>
      </w:pPr>
      <w:r>
        <w:lastRenderedPageBreak/>
        <w:t xml:space="preserve">округа: Постановление Арбитражного </w:t>
      </w:r>
      <w:r>
        <w:rPr>
          <w:spacing w:val="-3"/>
        </w:rPr>
        <w:t xml:space="preserve">суда </w:t>
      </w:r>
      <w:r>
        <w:t xml:space="preserve">Московского округа от 21.03.2017 N Ф05-10454/2014 по делу N А40-167126/2013, Постановление Арбитражного </w:t>
      </w:r>
      <w:r>
        <w:rPr>
          <w:spacing w:val="-4"/>
        </w:rPr>
        <w:t xml:space="preserve">суда </w:t>
      </w:r>
      <w:r>
        <w:t xml:space="preserve">Московского округа от 14.11.2016 по делу N А41-32301/2014, Поволжского округа: Постановление Арбитражного </w:t>
      </w:r>
      <w:r>
        <w:rPr>
          <w:spacing w:val="-3"/>
        </w:rPr>
        <w:t xml:space="preserve">суда </w:t>
      </w:r>
      <w:r>
        <w:t xml:space="preserve">Поволжского окру- га от 10.11.2016 N Ф06-3332/2011 по делу N А12-11822/2010, Постановление Арбитражного </w:t>
      </w:r>
      <w:r>
        <w:rPr>
          <w:spacing w:val="-3"/>
        </w:rPr>
        <w:t xml:space="preserve">суда </w:t>
      </w:r>
      <w:r>
        <w:rPr>
          <w:spacing w:val="1"/>
        </w:rPr>
        <w:t xml:space="preserve">По- </w:t>
      </w:r>
      <w:r>
        <w:t xml:space="preserve">волжского округа от 06.12.2016 N Ф06-10947/2010 по делу N А55-13825/2009, Северо-Западного округа: Постановление Арбитражного </w:t>
      </w:r>
      <w:r>
        <w:rPr>
          <w:spacing w:val="-3"/>
        </w:rPr>
        <w:t xml:space="preserve">суда </w:t>
      </w:r>
      <w:r>
        <w:t>Северо-Западного округа от 28.02.2017 N Ф07-391/2017 по делу N</w:t>
      </w:r>
      <w:r>
        <w:rPr>
          <w:spacing w:val="-6"/>
        </w:rPr>
        <w:t xml:space="preserve"> </w:t>
      </w:r>
      <w:r>
        <w:t>А13-5778/2014.</w:t>
      </w:r>
    </w:p>
    <w:p w:rsidR="00F27A6F" w:rsidRDefault="00F27A6F">
      <w:pPr>
        <w:pStyle w:val="a3"/>
        <w:kinsoku w:val="0"/>
        <w:overflowPunct w:val="0"/>
        <w:spacing w:before="8"/>
        <w:ind w:left="0"/>
        <w:rPr>
          <w:sz w:val="27"/>
          <w:szCs w:val="27"/>
        </w:rPr>
      </w:pPr>
    </w:p>
    <w:p w:rsidR="00F27A6F" w:rsidRDefault="00C438CF">
      <w:pPr>
        <w:pStyle w:val="a3"/>
        <w:kinsoku w:val="0"/>
        <w:overflowPunct w:val="0"/>
        <w:spacing w:before="1" w:line="276" w:lineRule="auto"/>
        <w:ind w:right="115" w:firstLine="566"/>
        <w:jc w:val="both"/>
      </w:pPr>
      <w:r>
        <w:t>Статьей 18.1. Федерального закона от 26.07.2006 №135-ФЗ «О защите конкуренции» установ- лен порядок рассмотрения антимонопольным органом жалоб на нарушение процедуры торгов.</w:t>
      </w:r>
    </w:p>
    <w:p w:rsidR="00F27A6F" w:rsidRDefault="00C438CF">
      <w:pPr>
        <w:pStyle w:val="a3"/>
        <w:kinsoku w:val="0"/>
        <w:overflowPunct w:val="0"/>
        <w:spacing w:line="276" w:lineRule="auto"/>
        <w:ind w:right="111" w:firstLine="566"/>
        <w:jc w:val="both"/>
      </w:pPr>
      <w:r>
        <w:t>В соответствии с ч.1 ст.18.1 Закона о защите конкуренции, по правилам настоящей статьи ан- тимонопольный орган рассматривает, в том числе жалобы на действия (бездействие) организатора торгов.</w:t>
      </w:r>
    </w:p>
    <w:p w:rsidR="00F27A6F" w:rsidRDefault="00C438CF">
      <w:pPr>
        <w:pStyle w:val="a3"/>
        <w:kinsoku w:val="0"/>
        <w:overflowPunct w:val="0"/>
        <w:spacing w:line="276" w:lineRule="auto"/>
        <w:ind w:right="113" w:firstLine="566"/>
        <w:jc w:val="both"/>
      </w:pPr>
      <w:r>
        <w:t>Согласно ч.2 ст.18.1 Закона о защите конкуренции действия (бездействие) организатора торгов могут быть обжалованы в антимонопольный орган лицом (заявителем), права и законные интересы которого могут быть ущемлены или нарушены в результате нарушения порядка организации и про- ведения торгов.</w:t>
      </w:r>
    </w:p>
    <w:p w:rsidR="00F27A6F" w:rsidRDefault="00C438CF">
      <w:pPr>
        <w:pStyle w:val="a3"/>
        <w:kinsoku w:val="0"/>
        <w:overflowPunct w:val="0"/>
        <w:spacing w:line="276" w:lineRule="auto"/>
        <w:ind w:right="107" w:firstLine="566"/>
        <w:jc w:val="both"/>
      </w:pPr>
      <w:r>
        <w:t>Настоящая Жалоба мотивирована тем, что Заявка Г</w:t>
      </w:r>
      <w:r w:rsidR="00362D5D">
        <w:t>.</w:t>
      </w:r>
      <w:r>
        <w:t>А.В. не обоснованно не была до- пущена к участию в торгах.</w:t>
      </w:r>
    </w:p>
    <w:p w:rsidR="00F27A6F" w:rsidRDefault="00C438CF">
      <w:pPr>
        <w:pStyle w:val="a3"/>
        <w:kinsoku w:val="0"/>
        <w:overflowPunct w:val="0"/>
        <w:spacing w:line="276" w:lineRule="auto"/>
        <w:ind w:right="116" w:firstLine="566"/>
        <w:jc w:val="both"/>
      </w:pPr>
      <w:r>
        <w:t>ч.1 ст. 17 Закона о защите конкуренции установлено, что при проведении торгов запрещаются действия, которые приводят или могут привести к недопущению, ограничению или устранению кон- куренции.</w:t>
      </w:r>
    </w:p>
    <w:p w:rsidR="00F27A6F" w:rsidRDefault="00F27A6F">
      <w:pPr>
        <w:pStyle w:val="a3"/>
        <w:kinsoku w:val="0"/>
        <w:overflowPunct w:val="0"/>
        <w:spacing w:before="4"/>
        <w:ind w:left="0"/>
        <w:rPr>
          <w:sz w:val="27"/>
          <w:szCs w:val="27"/>
        </w:rPr>
      </w:pPr>
    </w:p>
    <w:p w:rsidR="00F27A6F" w:rsidRDefault="00C438CF">
      <w:pPr>
        <w:pStyle w:val="a3"/>
        <w:kinsoku w:val="0"/>
        <w:overflowPunct w:val="0"/>
        <w:ind w:left="1584"/>
      </w:pPr>
      <w:r>
        <w:t>В связи с выше изложенным, прошу:</w:t>
      </w:r>
    </w:p>
    <w:p w:rsidR="00F27A6F" w:rsidRDefault="00C438CF">
      <w:pPr>
        <w:pStyle w:val="a5"/>
        <w:numPr>
          <w:ilvl w:val="3"/>
          <w:numId w:val="2"/>
        </w:numPr>
        <w:tabs>
          <w:tab w:val="left" w:pos="1868"/>
        </w:tabs>
        <w:kinsoku w:val="0"/>
        <w:overflowPunct w:val="0"/>
        <w:spacing w:before="46" w:line="276" w:lineRule="auto"/>
        <w:ind w:right="107" w:firstLine="850"/>
      </w:pPr>
      <w:r>
        <w:t>Признать в действиях ООО «КАУ» нарушения условий проведения торгов, в части не до- пущения к торгам № 51306 Заявки Г</w:t>
      </w:r>
      <w:r w:rsidR="00362D5D">
        <w:t>.</w:t>
      </w:r>
      <w:r>
        <w:t>А.В.</w:t>
      </w:r>
    </w:p>
    <w:p w:rsidR="00F27A6F" w:rsidRDefault="00C438CF">
      <w:pPr>
        <w:pStyle w:val="a5"/>
        <w:numPr>
          <w:ilvl w:val="3"/>
          <w:numId w:val="2"/>
        </w:numPr>
        <w:tabs>
          <w:tab w:val="left" w:pos="1868"/>
        </w:tabs>
        <w:kinsoku w:val="0"/>
        <w:overflowPunct w:val="0"/>
        <w:spacing w:line="276" w:lineRule="auto"/>
        <w:ind w:firstLine="850"/>
      </w:pPr>
      <w:r>
        <w:t>Признать Протокол об определении участников торгов незаконным в части не допуска за- явки Г</w:t>
      </w:r>
      <w:r w:rsidR="00362D5D">
        <w:t>.</w:t>
      </w:r>
      <w:r>
        <w:t>А.В. к</w:t>
      </w:r>
      <w:r>
        <w:rPr>
          <w:spacing w:val="6"/>
        </w:rPr>
        <w:t xml:space="preserve"> </w:t>
      </w:r>
      <w:r>
        <w:t>торгам.</w:t>
      </w:r>
    </w:p>
    <w:p w:rsidR="00F27A6F" w:rsidRDefault="00C438CF">
      <w:pPr>
        <w:pStyle w:val="a5"/>
        <w:numPr>
          <w:ilvl w:val="3"/>
          <w:numId w:val="2"/>
        </w:numPr>
        <w:tabs>
          <w:tab w:val="left" w:pos="1868"/>
        </w:tabs>
        <w:kinsoku w:val="0"/>
        <w:overflowPunct w:val="0"/>
        <w:spacing w:line="275" w:lineRule="exact"/>
        <w:ind w:right="0" w:firstLine="850"/>
      </w:pPr>
      <w:r>
        <w:t>Допустить Заявку Г</w:t>
      </w:r>
      <w:r w:rsidR="00362D5D">
        <w:t>.</w:t>
      </w:r>
      <w:r>
        <w:t>А.В. к торгам № 51306 по лоту</w:t>
      </w:r>
      <w:r>
        <w:rPr>
          <w:spacing w:val="-11"/>
        </w:rPr>
        <w:t xml:space="preserve"> </w:t>
      </w:r>
      <w:r>
        <w:t>2.</w:t>
      </w:r>
    </w:p>
    <w:p w:rsidR="00F27A6F" w:rsidRDefault="00C438CF">
      <w:pPr>
        <w:pStyle w:val="a5"/>
        <w:numPr>
          <w:ilvl w:val="3"/>
          <w:numId w:val="2"/>
        </w:numPr>
        <w:tabs>
          <w:tab w:val="left" w:pos="1868"/>
        </w:tabs>
        <w:kinsoku w:val="0"/>
        <w:overflowPunct w:val="0"/>
        <w:spacing w:before="40"/>
        <w:ind w:right="0" w:firstLine="850"/>
      </w:pPr>
      <w:r>
        <w:t>Признать Протокол итогов торгов по лоту 2 торгов 51306 не</w:t>
      </w:r>
      <w:r>
        <w:rPr>
          <w:spacing w:val="-11"/>
        </w:rPr>
        <w:t xml:space="preserve"> </w:t>
      </w:r>
      <w:r>
        <w:t>законным.</w:t>
      </w:r>
    </w:p>
    <w:p w:rsidR="00F27A6F" w:rsidRDefault="00C438CF">
      <w:pPr>
        <w:pStyle w:val="a5"/>
        <w:numPr>
          <w:ilvl w:val="3"/>
          <w:numId w:val="2"/>
        </w:numPr>
        <w:tabs>
          <w:tab w:val="left" w:pos="1868"/>
        </w:tabs>
        <w:kinsoku w:val="0"/>
        <w:overflowPunct w:val="0"/>
        <w:spacing w:before="41" w:line="276" w:lineRule="auto"/>
        <w:ind w:right="107" w:firstLine="850"/>
      </w:pPr>
      <w:r>
        <w:t>Обязать организатора торгов опубликовать Протокол торгов с учетом поданной Г</w:t>
      </w:r>
      <w:r w:rsidR="00362D5D">
        <w:t>.</w:t>
      </w:r>
      <w:r>
        <w:t>А.В.</w:t>
      </w:r>
      <w:r>
        <w:rPr>
          <w:spacing w:val="2"/>
        </w:rPr>
        <w:t xml:space="preserve"> </w:t>
      </w:r>
      <w:r>
        <w:t>заявки.</w:t>
      </w:r>
    </w:p>
    <w:p w:rsidR="00F27A6F" w:rsidRDefault="00C438CF">
      <w:pPr>
        <w:pStyle w:val="a5"/>
        <w:numPr>
          <w:ilvl w:val="3"/>
          <w:numId w:val="2"/>
        </w:numPr>
        <w:tabs>
          <w:tab w:val="left" w:pos="1868"/>
        </w:tabs>
        <w:kinsoku w:val="0"/>
        <w:overflowPunct w:val="0"/>
        <w:spacing w:before="3" w:line="276" w:lineRule="auto"/>
        <w:ind w:right="107" w:firstLine="850"/>
      </w:pPr>
      <w:r>
        <w:t xml:space="preserve">Привлечь к рассмотрению Жалобы </w:t>
      </w:r>
      <w:r>
        <w:rPr>
          <w:spacing w:val="-3"/>
        </w:rPr>
        <w:t xml:space="preserve">АО </w:t>
      </w:r>
      <w:r>
        <w:t>«Россельхозбанк» с целью установления факта по- ступления задатка по заявке к 31.07.2021г. 08:00</w:t>
      </w:r>
      <w:r>
        <w:rPr>
          <w:spacing w:val="10"/>
        </w:rPr>
        <w:t xml:space="preserve"> </w:t>
      </w:r>
      <w:r>
        <w:t>мск.</w:t>
      </w:r>
    </w:p>
    <w:p w:rsidR="00F27A6F" w:rsidRDefault="00C438CF">
      <w:pPr>
        <w:pStyle w:val="a5"/>
        <w:numPr>
          <w:ilvl w:val="3"/>
          <w:numId w:val="2"/>
        </w:numPr>
        <w:tabs>
          <w:tab w:val="left" w:pos="1868"/>
        </w:tabs>
        <w:kinsoku w:val="0"/>
        <w:overflowPunct w:val="0"/>
        <w:spacing w:line="276" w:lineRule="auto"/>
        <w:ind w:firstLine="850"/>
      </w:pPr>
      <w:r>
        <w:t>Предоставить Заявителю возможность участия в рассмотрении Жалобы по видеоконфе- ренц-связи.</w:t>
      </w:r>
    </w:p>
    <w:p w:rsidR="00F27A6F" w:rsidRDefault="00F27A6F">
      <w:pPr>
        <w:pStyle w:val="a3"/>
        <w:kinsoku w:val="0"/>
        <w:overflowPunct w:val="0"/>
        <w:spacing w:before="5"/>
        <w:ind w:left="0"/>
        <w:rPr>
          <w:sz w:val="27"/>
          <w:szCs w:val="27"/>
        </w:rPr>
      </w:pPr>
    </w:p>
    <w:p w:rsidR="00F27A6F" w:rsidRDefault="00362D5D">
      <w:pPr>
        <w:pStyle w:val="a3"/>
        <w:kinsoku w:val="0"/>
        <w:overflowPunct w:val="0"/>
        <w:spacing w:line="276" w:lineRule="auto"/>
        <w:ind w:right="116" w:firstLine="566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3848100</wp:posOffset>
                </wp:positionH>
                <wp:positionV relativeFrom="paragraph">
                  <wp:posOffset>735330</wp:posOffset>
                </wp:positionV>
                <wp:extent cx="2184400" cy="1498600"/>
                <wp:effectExtent l="0" t="0" r="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4400" cy="149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7A6F" w:rsidRDefault="00F27A6F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360" w:lineRule="atLeas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27A6F" w:rsidRDefault="00F27A6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303pt;margin-top:57.9pt;width:172pt;height:11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" o:allowincell="f" filled="f" stroked="f">
                <v:textbox inset="0,0,0,0">
                  <w:txbxContent>
                    <w:p w:rsidR="00F27A6F" w:rsidRDefault="00F27A6F">
                      <w:pPr>
                        <w:widowControl/>
                        <w:autoSpaceDE/>
                        <w:autoSpaceDN/>
                        <w:adjustRightInd/>
                        <w:spacing w:line="2360" w:lineRule="atLeast"/>
                        <w:rPr>
                          <w:sz w:val="24"/>
                          <w:szCs w:val="24"/>
                        </w:rPr>
                      </w:pPr>
                    </w:p>
                    <w:p w:rsidR="00F27A6F" w:rsidRDefault="00F27A6F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C438CF">
        <w:t>Настоящая Жалоба подписана квалифицированной цифровой подписью Г</w:t>
      </w:r>
      <w:r>
        <w:t>.</w:t>
      </w:r>
      <w:r w:rsidR="00C438CF">
        <w:t>А.В. Пода- на через Портал «Госуслуги». Экземпляр Жалобы отправлен Почтой России по адресу Курского УФАС.</w:t>
      </w:r>
    </w:p>
    <w:p w:rsidR="00F27A6F" w:rsidRDefault="00F27A6F">
      <w:pPr>
        <w:pStyle w:val="a3"/>
        <w:kinsoku w:val="0"/>
        <w:overflowPunct w:val="0"/>
        <w:ind w:left="0"/>
        <w:rPr>
          <w:sz w:val="26"/>
          <w:szCs w:val="26"/>
        </w:rPr>
      </w:pPr>
    </w:p>
    <w:p w:rsidR="00F27A6F" w:rsidRDefault="00F27A6F">
      <w:pPr>
        <w:pStyle w:val="a3"/>
        <w:kinsoku w:val="0"/>
        <w:overflowPunct w:val="0"/>
        <w:ind w:left="0"/>
        <w:rPr>
          <w:sz w:val="26"/>
          <w:szCs w:val="26"/>
        </w:rPr>
      </w:pPr>
    </w:p>
    <w:p w:rsidR="00F27A6F" w:rsidRDefault="00F27A6F">
      <w:pPr>
        <w:pStyle w:val="a3"/>
        <w:kinsoku w:val="0"/>
        <w:overflowPunct w:val="0"/>
        <w:spacing w:before="6"/>
        <w:ind w:left="0"/>
        <w:rPr>
          <w:sz w:val="30"/>
          <w:szCs w:val="30"/>
        </w:rPr>
      </w:pPr>
    </w:p>
    <w:p w:rsidR="00F27A6F" w:rsidRDefault="00C438CF">
      <w:pPr>
        <w:pStyle w:val="a3"/>
        <w:tabs>
          <w:tab w:val="left" w:pos="9564"/>
        </w:tabs>
        <w:kinsoku w:val="0"/>
        <w:overflowPunct w:val="0"/>
        <w:ind w:left="5560"/>
      </w:pPr>
      <w:r>
        <w:t>31.07.2021г.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/А.В.Г</w:t>
      </w:r>
      <w:bookmarkStart w:id="0" w:name="_GoBack"/>
      <w:bookmarkEnd w:id="0"/>
      <w:r w:rsidR="00362D5D">
        <w:t>.</w:t>
      </w:r>
      <w:r>
        <w:t>/</w:t>
      </w:r>
    </w:p>
    <w:sectPr w:rsidR="00F27A6F">
      <w:pgSz w:w="11910" w:h="16840"/>
      <w:pgMar w:top="340" w:right="300" w:bottom="480" w:left="260" w:header="0" w:footer="29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CB6" w:rsidRDefault="000D4CB6">
      <w:r>
        <w:separator/>
      </w:r>
    </w:p>
  </w:endnote>
  <w:endnote w:type="continuationSeparator" w:id="0">
    <w:p w:rsidR="000D4CB6" w:rsidRDefault="000D4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A6F" w:rsidRDefault="00362D5D">
    <w:pPr>
      <w:pStyle w:val="a3"/>
      <w:kinsoku w:val="0"/>
      <w:overflowPunct w:val="0"/>
      <w:spacing w:line="14" w:lineRule="auto"/>
      <w:ind w:left="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page">
                <wp:posOffset>7198360</wp:posOffset>
              </wp:positionH>
              <wp:positionV relativeFrom="page">
                <wp:posOffset>10367010</wp:posOffset>
              </wp:positionV>
              <wp:extent cx="1219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7A6F" w:rsidRDefault="00C438CF">
                          <w:pPr>
                            <w:pStyle w:val="a3"/>
                            <w:kinsoku w:val="0"/>
                            <w:overflowPunct w:val="0"/>
                            <w:spacing w:line="245" w:lineRule="exact"/>
                            <w:ind w:left="40"/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362D5D">
                            <w:rPr>
                              <w:rFonts w:ascii="Calibri" w:hAnsi="Calibri" w:cs="Calibri"/>
                              <w:noProof/>
                              <w:sz w:val="22"/>
                              <w:szCs w:val="22"/>
                            </w:rPr>
                            <w:t>3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66.8pt;margin-top:816.3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nbZqQ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" o:allowincell="f" filled="f" stroked="f">
              <v:textbox inset="0,0,0,0">
                <w:txbxContent>
                  <w:p w:rsidR="00F27A6F" w:rsidRDefault="00C438CF">
                    <w:pPr>
                      <w:pStyle w:val="a3"/>
                      <w:kinsoku w:val="0"/>
                      <w:overflowPunct w:val="0"/>
                      <w:spacing w:line="245" w:lineRule="exact"/>
                      <w:ind w:left="40"/>
                      <w:rPr>
                        <w:rFonts w:ascii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hAnsi="Calibri" w:cs="Calibri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</w:rPr>
                      <w:instrText xml:space="preserve"> PAGE </w:instrTex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</w:rPr>
                      <w:fldChar w:fldCharType="separate"/>
                    </w:r>
                    <w:r w:rsidR="00362D5D">
                      <w:rPr>
                        <w:rFonts w:ascii="Calibri" w:hAnsi="Calibri" w:cs="Calibri"/>
                        <w:noProof/>
                        <w:sz w:val="22"/>
                        <w:szCs w:val="22"/>
                      </w:rPr>
                      <w:t>3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CB6" w:rsidRDefault="000D4CB6">
      <w:r>
        <w:separator/>
      </w:r>
    </w:p>
  </w:footnote>
  <w:footnote w:type="continuationSeparator" w:id="0">
    <w:p w:rsidR="000D4CB6" w:rsidRDefault="000D4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start w:val="19"/>
      <w:numFmt w:val="decimal"/>
      <w:lvlText w:val="%1"/>
      <w:lvlJc w:val="left"/>
      <w:pPr>
        <w:ind w:left="734" w:hanging="847"/>
      </w:pPr>
    </w:lvl>
    <w:lvl w:ilvl="1">
      <w:start w:val="7"/>
      <w:numFmt w:val="decimalZero"/>
      <w:lvlText w:val="%1.%2"/>
      <w:lvlJc w:val="left"/>
      <w:pPr>
        <w:ind w:left="734" w:hanging="847"/>
      </w:pPr>
    </w:lvl>
    <w:lvl w:ilvl="2">
      <w:start w:val="21"/>
      <w:numFmt w:val="decimal"/>
      <w:lvlText w:val="%1.%2.%3"/>
      <w:lvlJc w:val="left"/>
      <w:pPr>
        <w:ind w:left="734" w:hanging="847"/>
      </w:pPr>
      <w:rPr>
        <w:rFonts w:ascii="Times New Roman" w:hAnsi="Times New Roman" w:cs="Times New Roman"/>
        <w:b w:val="0"/>
        <w:bCs w:val="0"/>
        <w:spacing w:val="-5"/>
        <w:w w:val="100"/>
        <w:sz w:val="22"/>
        <w:szCs w:val="22"/>
      </w:rPr>
    </w:lvl>
    <w:lvl w:ilvl="3">
      <w:start w:val="1"/>
      <w:numFmt w:val="decimal"/>
      <w:lvlText w:val="%4."/>
      <w:lvlJc w:val="left"/>
      <w:pPr>
        <w:ind w:left="734" w:hanging="284"/>
      </w:pPr>
      <w:rPr>
        <w:rFonts w:ascii="Times New Roman" w:hAnsi="Times New Roman" w:cs="Times New Roman"/>
        <w:b w:val="0"/>
        <w:bCs w:val="0"/>
        <w:spacing w:val="-17"/>
        <w:w w:val="100"/>
        <w:sz w:val="24"/>
        <w:szCs w:val="24"/>
      </w:rPr>
    </w:lvl>
    <w:lvl w:ilvl="4">
      <w:numFmt w:val="bullet"/>
      <w:lvlText w:val="•"/>
      <w:lvlJc w:val="left"/>
      <w:pPr>
        <w:ind w:left="4981" w:hanging="284"/>
      </w:pPr>
    </w:lvl>
    <w:lvl w:ilvl="5">
      <w:numFmt w:val="bullet"/>
      <w:lvlText w:val="•"/>
      <w:lvlJc w:val="left"/>
      <w:pPr>
        <w:ind w:left="6042" w:hanging="284"/>
      </w:pPr>
    </w:lvl>
    <w:lvl w:ilvl="6">
      <w:numFmt w:val="bullet"/>
      <w:lvlText w:val="•"/>
      <w:lvlJc w:val="left"/>
      <w:pPr>
        <w:ind w:left="7102" w:hanging="284"/>
      </w:pPr>
    </w:lvl>
    <w:lvl w:ilvl="7">
      <w:numFmt w:val="bullet"/>
      <w:lvlText w:val="•"/>
      <w:lvlJc w:val="left"/>
      <w:pPr>
        <w:ind w:left="8162" w:hanging="284"/>
      </w:pPr>
    </w:lvl>
    <w:lvl w:ilvl="8">
      <w:numFmt w:val="bullet"/>
      <w:lvlText w:val="•"/>
      <w:lvlJc w:val="left"/>
      <w:pPr>
        <w:ind w:left="9223" w:hanging="284"/>
      </w:pPr>
    </w:lvl>
  </w:abstractNum>
  <w:abstractNum w:abstractNumId="1">
    <w:nsid w:val="00000403"/>
    <w:multiLevelType w:val="multilevel"/>
    <w:tmpl w:val="00000886"/>
    <w:lvl w:ilvl="0">
      <w:numFmt w:val="bullet"/>
      <w:lvlText w:val="-"/>
      <w:lvlJc w:val="left"/>
      <w:pPr>
        <w:ind w:left="734" w:hanging="149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800" w:hanging="149"/>
      </w:pPr>
    </w:lvl>
    <w:lvl w:ilvl="2">
      <w:numFmt w:val="bullet"/>
      <w:lvlText w:val="•"/>
      <w:lvlJc w:val="left"/>
      <w:pPr>
        <w:ind w:left="2860" w:hanging="149"/>
      </w:pPr>
    </w:lvl>
    <w:lvl w:ilvl="3">
      <w:numFmt w:val="bullet"/>
      <w:lvlText w:val="•"/>
      <w:lvlJc w:val="left"/>
      <w:pPr>
        <w:ind w:left="3921" w:hanging="149"/>
      </w:pPr>
    </w:lvl>
    <w:lvl w:ilvl="4">
      <w:numFmt w:val="bullet"/>
      <w:lvlText w:val="•"/>
      <w:lvlJc w:val="left"/>
      <w:pPr>
        <w:ind w:left="4981" w:hanging="149"/>
      </w:pPr>
    </w:lvl>
    <w:lvl w:ilvl="5">
      <w:numFmt w:val="bullet"/>
      <w:lvlText w:val="•"/>
      <w:lvlJc w:val="left"/>
      <w:pPr>
        <w:ind w:left="6042" w:hanging="149"/>
      </w:pPr>
    </w:lvl>
    <w:lvl w:ilvl="6">
      <w:numFmt w:val="bullet"/>
      <w:lvlText w:val="•"/>
      <w:lvlJc w:val="left"/>
      <w:pPr>
        <w:ind w:left="7102" w:hanging="149"/>
      </w:pPr>
    </w:lvl>
    <w:lvl w:ilvl="7">
      <w:numFmt w:val="bullet"/>
      <w:lvlText w:val="•"/>
      <w:lvlJc w:val="left"/>
      <w:pPr>
        <w:ind w:left="8162" w:hanging="149"/>
      </w:pPr>
    </w:lvl>
    <w:lvl w:ilvl="8">
      <w:numFmt w:val="bullet"/>
      <w:lvlText w:val="•"/>
      <w:lvlJc w:val="left"/>
      <w:pPr>
        <w:ind w:left="9223" w:hanging="149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8CF"/>
    <w:rsid w:val="000D4CB6"/>
    <w:rsid w:val="00362D5D"/>
    <w:rsid w:val="00C438CF"/>
    <w:rsid w:val="00F2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65D8168F-5E02-4AC0-8D34-3047C92DF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uiPriority w:val="1"/>
    <w:qFormat/>
    <w:pPr>
      <w:spacing w:before="9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ind w:left="734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Pr>
      <w:rFonts w:ascii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5">
    <w:name w:val="List Paragraph"/>
    <w:basedOn w:val="a"/>
    <w:uiPriority w:val="1"/>
    <w:qFormat/>
    <w:pPr>
      <w:ind w:left="734" w:right="118" w:firstLine="850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rsk.fas.gov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edcon@mail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nedcon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o46@fa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1329</Words>
  <Characters>7579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2021-08-03T13:10:00Z</dcterms:created>
  <dcterms:modified xsi:type="dcterms:W3CDTF">2021-08-03T13:10:00Z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