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CF" w:rsidRPr="00E913CF" w:rsidRDefault="00E913CF" w:rsidP="00E9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E913CF" w:rsidRPr="00E913CF" w:rsidRDefault="00E913CF" w:rsidP="00E913CF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3CF" w:rsidRPr="00E913CF" w:rsidRDefault="00E913CF" w:rsidP="00E913C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АНАЛИТИЧЕСКИЙ ОТЧЕТ</w:t>
      </w:r>
    </w:p>
    <w:p w:rsidR="00E913CF" w:rsidRPr="00E913CF" w:rsidRDefault="00E913CF" w:rsidP="00E913C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анализа рынка </w:t>
      </w:r>
    </w:p>
    <w:p w:rsidR="00E913CF" w:rsidRPr="00E913CF" w:rsidRDefault="00E913CF" w:rsidP="00E913C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 ОБЯЗАТЕЛЬНОГО СТРАХОВАНИЯ ГРАЖДАНСКОЙ ОТВЕТСТВЕННОСТИ </w:t>
      </w:r>
    </w:p>
    <w:p w:rsidR="00E913CF" w:rsidRPr="00E913CF" w:rsidRDefault="00E913CF" w:rsidP="00E913C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ВЛАДЕЛЬЦЕВ  ТРАНСПОРТНЫХ СРЕДСТВ (ОСАГО)</w:t>
      </w:r>
    </w:p>
    <w:p w:rsidR="00E913CF" w:rsidRPr="00E913CF" w:rsidRDefault="00E913CF" w:rsidP="00E913C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Курской области за 2012 г.-1 квартал 2013г.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Настоящий анализ проводится в связи с поступлением в адрес  управления Федеральной антимонопольной службы по Курской области (Курское УФАС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>) жалоб физических лиц на действия ООО «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Росгосстрах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>» по навязыванию дополнительных страховых услуг при заключении договоров обязательного страхования гражданской ответственности владельцев транспортных средств (ОСАГО), с целью установления факта наличия (отсутствия) доминирующего положения ООО «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Росгосстрах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>» на рынке услуг ОСАГО.</w:t>
      </w:r>
    </w:p>
    <w:p w:rsidR="00E913CF" w:rsidRPr="00E913CF" w:rsidRDefault="00E913CF" w:rsidP="00E9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Нормативно-методическая база исследования:</w:t>
      </w:r>
    </w:p>
    <w:p w:rsidR="00E913CF" w:rsidRPr="00E913CF" w:rsidRDefault="00E913CF" w:rsidP="00E913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Федеральный закон от 26.07.2006 № 135-ФЗ «О защите конкуренции»;</w:t>
      </w:r>
    </w:p>
    <w:p w:rsidR="00E913CF" w:rsidRPr="00E913CF" w:rsidRDefault="00E913CF" w:rsidP="00E913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Закон РФ «Об организации страхового дела в Российской Федерации» от 27.11.1992 г. N 4015-1;</w:t>
      </w:r>
    </w:p>
    <w:p w:rsidR="00E913CF" w:rsidRPr="00E913CF" w:rsidRDefault="00E913CF" w:rsidP="00E913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Федеральный закон от 25.04.2003 № 40-ФЗ «Об обязательном страховании гражданской ответственности владельцев транспортных средств» (далее - ФЗ об ОСАГО);</w:t>
      </w:r>
    </w:p>
    <w:p w:rsidR="00E913CF" w:rsidRPr="00E913CF" w:rsidRDefault="00E913CF" w:rsidP="00E913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Порядок проведения анализа и оценки конкурентной среды на товарных рынках, утвержденный приказом ФАС России от 28.04.2010 № 220 (далее – Порядок);</w:t>
      </w:r>
    </w:p>
    <w:p w:rsidR="00E913CF" w:rsidRPr="00E913CF" w:rsidRDefault="00E913CF" w:rsidP="00E913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3" w:history="1">
        <w:r w:rsidRPr="00E913C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Условия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признания доминирующим положения финансовой организации (за исключением </w:t>
      </w:r>
      <w:hyperlink r:id="rId5" w:history="1">
        <w:r w:rsidRPr="00E913C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кредитной организации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hyperlink w:anchor="Par53" w:history="1">
        <w:r w:rsidRPr="00E913C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доминирующего положения финансовой организации (за исключением </w:t>
      </w:r>
      <w:hyperlink r:id="rId6" w:history="1">
        <w:r w:rsidRPr="00E913C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кредитной организации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>), утв. постановлением Правительства РФ от 09.06.07 г. № 359;</w:t>
      </w:r>
    </w:p>
    <w:p w:rsidR="00E913CF" w:rsidRPr="00E913CF" w:rsidRDefault="00E913CF" w:rsidP="00E913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ФАС России по исполнению государственной функции по установлению доминирующего положения хозяйствующего субъекта, утв. приказом ФАС России от 25.05.12 г. № 345;</w:t>
      </w:r>
    </w:p>
    <w:p w:rsidR="00E913CF" w:rsidRPr="00E913CF" w:rsidRDefault="00E913CF" w:rsidP="00E913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Официальные статистические данные по итогам деятельности страховщиков РФ за 2012 год, 1 квартал 2013 г. в разрезе субъектов федерации и страховщиков (опубликованы на официальном сайте ФСФР России: 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www.fcsm.ru</w:t>
      </w:r>
      <w:proofErr w:type="spellEnd"/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В соответствии с п. 1.3 Порядка проведение анализа состояния конкуренции на товарном рынке включает следующие этапы: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а) определение временного интервала исследования товарного рынка;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б) определение продуктовых границ товарного рынка;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в) определение географических границ товарного рынка;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г) определение состава хозяйствующих субъектов, действующих на товарном рынке в качестве продавцов и покупателей;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>) расчет объема товарного рынка и долей хозяйствующих субъектов на рынке;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е) определение уровня концентрации товарного рынка;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ж) определение барьеров входа на товарный рынок;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>) оценка состояния конкурентной среды на товарном рынке;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и) составление аналитического отчета.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Согласно п. 4-6 </w:t>
      </w:r>
      <w:hyperlink w:anchor="Par53" w:history="1">
        <w:r w:rsidRPr="00E913C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доминирующего положения финансовой организации (за исключением </w:t>
      </w:r>
      <w:hyperlink r:id="rId7" w:history="1">
        <w:r w:rsidRPr="00E913C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кредитной организации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), утв. постановлением Правительства РФ от 09.06.07 г. № 359, установление доминирующего положения финансовой организации 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путем определения ее доли в границах товарного рынка независимо от ее места нахождения, указанного в учредительных документах.</w:t>
      </w:r>
    </w:p>
    <w:p w:rsidR="00E913CF" w:rsidRPr="00E913CF" w:rsidRDefault="00E913CF" w:rsidP="00E91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Установление доминирующего положения финансовой организации включает в себя следующие этапы:</w:t>
      </w:r>
    </w:p>
    <w:p w:rsidR="00E913CF" w:rsidRPr="00E913CF" w:rsidRDefault="00E913CF" w:rsidP="00E91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а) установление сферы обращения финансовой услуги путем определения границ соответствующего товарного рынка на основе исследования спроса и предложения финансовой услуги;</w:t>
      </w:r>
    </w:p>
    <w:p w:rsidR="00E913CF" w:rsidRPr="00E913CF" w:rsidRDefault="00E913CF" w:rsidP="00E91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б) определение объема финансовых услуг и долей финансовых организаций на соответствующем товарном рынке;</w:t>
      </w:r>
    </w:p>
    <w:p w:rsidR="00E913CF" w:rsidRPr="00E913CF" w:rsidRDefault="00E913CF" w:rsidP="00E91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в) установление наличия условий признания доминирующим положения финансовой организации.</w:t>
      </w:r>
    </w:p>
    <w:p w:rsidR="00E913CF" w:rsidRPr="00E913CF" w:rsidRDefault="00E913CF" w:rsidP="00E91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Определение границ рынка осуществляется путем определения вида финансовой услуги, не имеющей замены, либо совокупности взаимозаменяемых финансовых услуг, сравнимых по их функциональному назначению, применению, качественным и техническим характеристикам, цене и другим параметрам таким образом, что приобретатель действительно заменяет или готов заменить одну финансовую услугу другой при потреблении, а также определения территории, в границах которой исходя из экономической, технической или иной возможности приобретателя обращается финансовая услуга (финансовые услуги).</w:t>
      </w:r>
    </w:p>
    <w:p w:rsidR="00E913CF" w:rsidRPr="00E913CF" w:rsidRDefault="00E913CF" w:rsidP="00E91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а) Определение временного интервала исследования товарного рынка.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Согласно ч. 9 ст. 5 ФЗ «О защите конкуренции» временной интервал анализа состояния конкуренции определяется в зависимости от цели исследования, особенностей товарного рынка и доступности информации.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рынка, если он составляет менее чем один год. 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Согласно  ст. 10 ФЗ об ОСАГО  срок действия договора обязательного страхования составляет один год, за исключением случаев, для которых предусмотрены иные сроки действия такого договора.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Статистические данные об объемах рынка ОСАГО на период проведения настоящего исследования доступны за 2012 год, 1 квартал 2013 года. Нарушение требований антимонопольного законодательства, в связи с признаками которого проводится настоящее исследование, имело место в  2013 году.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В этой связи, учитывая цель исследования, доступность информации, временной период исследования определен как 2012 год, 1 квартал 2013 года. 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 б) Определение продуктовых границ рынка.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Cs/>
          <w:sz w:val="24"/>
          <w:szCs w:val="24"/>
        </w:rPr>
        <w:t>Согласно ст. 2 Закона РФ «Об организации страхового дела в Российской Федерации»: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страхование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- отношения по защите интересов физических и юридических лиц, Российской Федерации, субъектов РФ и муниципальных образований при наступлении определенных страховых случаев за счет денежных фондов, формируемых страховщиками из уплаченных страховых премий (страховых взносов), а также за счет иных средств страховщиков.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страховая деятельность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(страховое дело) - сфера деятельности страховщиков по страхованию, перестрахованию, взаимному страхованию, а также страховых брокеров, страховых актуариев по оказанию услуг, связанных со страхованием, с перестрахованием.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3 указанного закона,  страхование осуществляется в форме добровольного страхования и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обязательного страхования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>. Условия и порядок осуществления обязательного страхования определяются федеральными законами о конкретных видах обязательного страхования.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Согласно ст. 4 указанного закона объектами имущественного страхования могут быть имущественные интересы, связанные, в частности, с обязанностью возместить причиненный другим лицам вред (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страхование гражданской ответственности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Статьи 9, 10, 11 указанного закона определяют понятия  страхового риска, страхового случая, страховой суммы, страховой выплаты, страховой премии.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Страховым риском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предполагаемое событие, на случай наступления которого проводится страхование. Событие, рассматриваемое в качестве страхового риска, должно обладать признаками вероятности и случайности его наступления.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Страховым случаем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страхователю, застрахованному лицу, 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выгодоприобретателю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или иным третьим лицам.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Страховая сумма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- денежная сумма, которая установлена федеральным законом и (или) определена договором страхования и исходя из которой устанавливаются размер страховой премии (страховых взносов) и размер страховой выплаты при наступлении страхового случая.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Страховая выплата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- денежная сумма, установленная федеральным законом и (или) договором страхования и выплачиваемая страховщиком страхователю, застрахованному лицу, 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выгодоприобретателю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при наступлении страхового случая.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Страховой тариф 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>- ставка страховой премии с единицы страховой суммы с учетом объекта страхования и характера страхового риска.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Страховые тарифы по видам обязательного страхования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в соответствии с федеральными законами о конкретных видах обязательного страхования.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Страхование гражданской ответственности владельцев автотранспортных средств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Классификацией видов страхования (ст. 32.9 закона) является особым видом страхования.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Правовые, экономические и организационные основы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обязательного страхования гражданской ответственности владельцев транспортных средств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(далее - ОСАГО) определены специальным Федеральным законом – ФЗ об ОСАГО, в целях защиты прав потерпевших на возмещение вреда, причиненного их жизни, здоровью или имуществу при использовании транспортных средств.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Ст. 1 ФЗ об ОСАГО определяет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договор ОСАГО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как договор страхования, по которому страховщик обязуется за обусловленную договором плату (страховую премию) при наступлении предусмотренного в договоре события (страхового случая) возместить потерпевшим причиненный вследствие этого события вред их жизни, здоровью или имуществу (осуществить страховую выплату) в пределах определенной договором суммы (страховой суммы). Договор обязательного страхования заключается в порядке и на условиях, которые предусмотрены ФЗ об ОСАГО и является публичным.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Страховым случаем является 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средства, влекущее за собой в соответствии с договором обязательного страхования обязанность страховщика осуществить страховую выплату;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Согласно ст. 6 ФЗ об ОСАГО объектом обязательного страхования являются имущественные интересы, связанные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РФ.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Согласно ст. 3 ФЗ об ОСАГО одним из основных принципов обязательного страхования является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всеобщность и обязательность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страхования гражданской ответственности владельцами транспортных средств. Статья 4 ФЗ об ОСАГО предусматривает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обязанность владельцев транспортных средств по страхованию гражданской ответственности.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Порядок реализации прав и обязанностей сторон по договору ОСАГО устанавливается Правительством Российской Федерации в </w:t>
      </w:r>
      <w:hyperlink r:id="rId8" w:history="1">
        <w:r w:rsidRPr="00E913CF">
          <w:rPr>
            <w:rFonts w:ascii="Times New Roman" w:eastAsia="Times New Roman" w:hAnsi="Times New Roman" w:cs="Times New Roman"/>
            <w:sz w:val="24"/>
            <w:szCs w:val="24"/>
          </w:rPr>
          <w:t>правилах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обязательного страхования.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8 ФЗ об ОСАГО государственное регулирование страховых тарифов осуществляется посредством установления экономически обоснованных страховых тарифов или их предельных уровней, а также структуры страховых тарифов и порядка их применения страховщиками при определении страховой премии по договору ОСАГО. </w:t>
      </w:r>
      <w:hyperlink r:id="rId9" w:history="1">
        <w:r w:rsidRPr="00E913CF">
          <w:rPr>
            <w:rFonts w:ascii="Times New Roman" w:eastAsia="Times New Roman" w:hAnsi="Times New Roman" w:cs="Times New Roman"/>
            <w:sz w:val="24"/>
            <w:szCs w:val="24"/>
          </w:rPr>
          <w:t>Страховые тарифы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по обязательному страхованию (их предельные уровни), </w:t>
      </w:r>
      <w:hyperlink r:id="rId10" w:history="1">
        <w:r w:rsidRPr="00E913CF">
          <w:rPr>
            <w:rFonts w:ascii="Times New Roman" w:eastAsia="Times New Roman" w:hAnsi="Times New Roman" w:cs="Times New Roman"/>
            <w:sz w:val="24"/>
            <w:szCs w:val="24"/>
          </w:rPr>
          <w:t>структура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страховых тарифов и </w:t>
      </w:r>
      <w:hyperlink r:id="rId11" w:history="1">
        <w:r w:rsidRPr="00E913CF">
          <w:rPr>
            <w:rFonts w:ascii="Times New Roman" w:eastAsia="Times New Roman" w:hAnsi="Times New Roman" w:cs="Times New Roman"/>
            <w:sz w:val="24"/>
            <w:szCs w:val="24"/>
          </w:rPr>
          <w:t>порядок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их применения страховщиками при определении страховой премии по договору обязательного страхования, устанавливаются Правительством РФ.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Согласно ст. 15 ФЗ об ОСАГО обязательное страхование осуществляется владельцами транспортных средств путем заключения со страховщиками договоров ОСАГО, в которых указываются транспортные средства, гражданская ответственность владельцев которых застрахована.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Договор ОСАГО заключается в отношении владельца транспортного средства, лиц, указанных им в договоре обязательного страхования, или в отношении неограниченного числа лиц, допущенных владельцем к управлению транспортным средством в соответствии с условиями договора, а также иных лиц, использующих транспортное средство на законном основании.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При заключении договора ОСАГО страховщик вручает страхователю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страховой полис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>, а также вносит сведения, указанные в заявлении о заключении договора и (или) представленные при заключении этого договора, в автоматизированную информационную систему обязательного страхования. Бланк страхового полиса ОСАГО является документом строгой отчетности.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Исходя из вышеизложенных положений действующего законодательства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страхование гражданской ответственности владельцев автотранспортных средств (ОСАГО) 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является особым видом страхования, на который страховщику выдается специальная лицензия. ОСАГО является обязательным видом страхования для определенного круга страхователей – владельцев транспортных средств. Цена услуги ОСАГО (страховые тарифы, их </w:t>
      </w:r>
      <w:hyperlink r:id="rId12" w:history="1">
        <w:r w:rsidRPr="00E913CF">
          <w:rPr>
            <w:rFonts w:ascii="Times New Roman" w:eastAsia="Times New Roman" w:hAnsi="Times New Roman" w:cs="Times New Roman"/>
            <w:sz w:val="24"/>
            <w:szCs w:val="24"/>
          </w:rPr>
          <w:t>структура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3" w:history="1">
        <w:r w:rsidRPr="00E913CF">
          <w:rPr>
            <w:rFonts w:ascii="Times New Roman" w:eastAsia="Times New Roman" w:hAnsi="Times New Roman" w:cs="Times New Roman"/>
            <w:sz w:val="24"/>
            <w:szCs w:val="24"/>
          </w:rPr>
          <w:t>порядок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их применения страховщиками при определении страховой премии) устанавливаются Правительством РФ. Рассматриваемый товар (услуга ОСАГО) не может быть заменен иным товаром (услугой).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Согласно ст. 4 ФЗ «О защите конкуренции» товар - объект гражданских прав (в том числе работа, услуга, включая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финансовую услугу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), предназначенный для продажи, обмена или иного введения в оборот;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финансовая услуга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- банковская услуга,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страховая услуга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>, услуга на рынке ценных бумаг, услуга по договору лизинга, а также услуга, оказываемая финансовой организацией и связанная с привлечением и (или) размещением денежных средств юридических и физических лиц.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Таким образом,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продуктовые границы анализируемого рынка определены как страховая услуга по обязательному страхованию гражданской ответственности владельцев транспортных средств (ОСАГО).</w:t>
      </w:r>
    </w:p>
    <w:p w:rsidR="00E913CF" w:rsidRPr="00E913CF" w:rsidRDefault="00E913CF" w:rsidP="00E91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3CF" w:rsidRPr="00E913CF" w:rsidRDefault="00E913CF" w:rsidP="00E91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Общероссийский классификатор видов экономической деятельности (ОКВЭД) предусматривает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код 66.03.3 – страхование ответственности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. Согласно ОК 004-93 подгруппа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6613 Страхование, кроме страхования жизни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включает  виды  деятельности,  связанные  со страхованием и перестрахованием, не относящиеся к страхованию жизни (например, от   несчастного  случая,  от  пожара,  от болезней, страхование  имущества,  автомобилистов,   морское, авиационное, транспортное страхование,  страхование на случай денежных убытков и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страхование гражданской ответственности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код 6613070 Услуги по страхованию гражданской ответственности.</w:t>
      </w:r>
    </w:p>
    <w:p w:rsidR="00E913CF" w:rsidRPr="00E913CF" w:rsidRDefault="00E913CF" w:rsidP="00E9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в) Определение географических границ товарного рынка.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Географические границы товарного рынка - территория, на которой приобретатель (приобретатели) приобретает или имеет экономическую, техническую или иную возможность приобрести товар и не имеет такой возможности (или экономической целесообразности) за ее пределами.</w:t>
      </w:r>
    </w:p>
    <w:p w:rsidR="00E913CF" w:rsidRPr="00E913CF" w:rsidRDefault="00E913CF" w:rsidP="00E91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Услуги обязательного страхования гражданской ответственности владельцев транспортных средств в подавляющем большинстве случаев приобретаются там, где зарегистрировано транспортное средство. 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Пунктом 2 страховых тарифов по ОСАГО, утвержденных постановлением Правительства РФ от 08.12.05 г. № 739, предусмотрены коэффициенты страховых тарифов в зависимости от территории преимущественного использования транспортного средства, которая определяется для физических лиц исходя из места жительства собственника транспортного средства, указанного в паспорте транспортного средства или свидетельстве о регистрации транспортного средства либо в паспорте гражданина, для юридических лиц - по месту регистрации транспортного средства.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Таким образом, географические границы рынка ОСАГО напрямую связаны с территорией регистрации/использования транспортного средства страхователем, территорией регистрации страхователя.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Согласно ч. 1 ст. 21 ФЗ «Об ОСАГО» страховщик обязан иметь в каждом субъекте РФ своего представителя, уполномоченного на рассмотрение требований потерпевших о страховых выплатах и на осуществление страховых выплат. Представитель страховщика в субъекте РФ (далее - представитель страховщика) - обособленное подразделение страховщика (филиал) в субъекте РФ, выполняющее в предусмотренных гражданским </w:t>
      </w:r>
      <w:hyperlink r:id="rId14" w:history="1">
        <w:r w:rsidRPr="00E913C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пределах полномочия страховщика по рассмотрению требований потерпевших о страховых выплатах и их осуществлению, или другой страховщик, выполняющий указанные полномочия за счет заключившего договор обязательного страхования страховщика на основании договора со страховщиком. 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Все жалобы физических лиц, ставшие поводом проведения настоящего исследования, поступили от жителей Курской области на действия представителей ООО «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Росгосстрах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>» (офисы, расположенные в разных районах Курской области).</w:t>
      </w:r>
    </w:p>
    <w:p w:rsidR="00E913CF" w:rsidRPr="00E913CF" w:rsidRDefault="00E913CF" w:rsidP="00E91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В данном исследовании географическими границами рынка ОСАГО являются границы Курской области.</w:t>
      </w:r>
    </w:p>
    <w:p w:rsidR="00E913CF" w:rsidRPr="00E913CF" w:rsidRDefault="00E913CF" w:rsidP="00E9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13CF" w:rsidRPr="00E913CF" w:rsidRDefault="00E913CF" w:rsidP="00E913C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bCs/>
          <w:sz w:val="24"/>
          <w:szCs w:val="24"/>
        </w:rPr>
        <w:t>г) Состав  хозяйствующих субъектов, действующих  на  рынке  ОСАГО.</w:t>
      </w:r>
    </w:p>
    <w:p w:rsidR="00E913CF" w:rsidRPr="00E913CF" w:rsidRDefault="00E913CF" w:rsidP="00E913C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Согласно Закона РФ «Об организации страхового дела в Российской Федерации» страхование  интересов юридических лиц, физических лиц может осуществляться только страховщиками, имеющими лицензии, полученные в установленном порядке.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Согласно ст. 5 указанного закона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страхователями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признаются юридические лица и дееспособные физические лица, заключившие со страховщиками договоры страхования либо являющиеся страхователями в силу закона.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Согласно ст. 6 закона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страховщики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- юридические лица, созданные в соответствии с законодательством РФ для осуществления страхования, перестрахования, взаимного страхования и получившие лицензии в установленном настоящим Законом порядке.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В соответствии с ФЗ об ОСАГО: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Страхователь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- лицо, заключившее со страховщиком договор обязательного страхования;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Страховщик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- страховая организация, которая вправе осуществлять обязательное страхование гражданской ответственности владельцев транспортных средств в соответствии с 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разрешением (лицензией), выданным федеральным органом исполнительной власти по надзору за страховой деятельностью в установленном </w:t>
      </w:r>
      <w:hyperlink r:id="rId15" w:history="1">
        <w:r w:rsidRPr="00E913C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РФ порядке;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Согласно ст. 21 ФЗ Об ОСАГО страховщик должен иметь в каждом субъекте РФ своего представителя, уполномоченного на рассмотрение требований потерпевших о страховых выплатах и на осуществление страховых выплат.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страховщика в субъекте РФ (далее - представитель страховщика) - обособленное подразделение страховщика (филиал) в субъекте РФ, выполняющее в предусмотренных гражданским </w:t>
      </w:r>
      <w:hyperlink r:id="rId16" w:history="1">
        <w:r w:rsidRPr="00E913C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пределах полномочия страховщика по рассмотрению требований потерпевших о страховых выплатах и их осуществлению, или другой страховщик, выполняющий указанные полномочия за счет заключившего договор обязательного страхования страховщика на основании договора со страховщиком.</w:t>
      </w:r>
    </w:p>
    <w:p w:rsidR="00E913CF" w:rsidRPr="00E913CF" w:rsidRDefault="00E913CF" w:rsidP="00E91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По официальным данным, размещенным на сайте ФСФР «Сведения о страховых премиях по субъектам Российской Федерации по видам страхования в разрезе страховщиков» за 2012 год, 1 квартал 2013 года, в географических границах рынка ОСАГО на территории Курской области осуществляли деятельность по оказанию страховых услуг ОСАГО более 60 страховых организаций, таких как ООО «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Росгосстрах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>», ООО СК «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Южурал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АСКО», СОАО «ВСК», ОАО «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Альфастрахование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>», ОАО СГ «МСК», ОАО СК «Альянс», ОАО «ЖАСО», ЗАО «МАКС», ООО СК «Подмосковье», ООО «Северная казна» и др.</w:t>
      </w:r>
    </w:p>
    <w:p w:rsidR="00E913CF" w:rsidRPr="00E913CF" w:rsidRDefault="00E913CF" w:rsidP="00E91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В качестве страхователей ОСАГО выступают физические и юридические лица.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) Расчет объема товарного рынка и долей хозяйствующих субъектов на рынке.</w:t>
      </w:r>
    </w:p>
    <w:p w:rsidR="00E913CF" w:rsidRPr="00E913CF" w:rsidRDefault="00E913CF" w:rsidP="00E91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Согласно п. 6.1 Порядка расчет объема рынка и долей хозяйствующих субъектов осуществляется на основании одного из следующих показателей: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- объем продаж;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- объем поставок (отгрузок);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- объем выручки;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- объем перевозок;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- объем производства;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- объем производственных мощностей;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- объем запасов ресурсов;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- объем товара в соответствии с заключенными договорами.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Основным показателем для расчета объема рынка и долей субъектов является объем продаж (поставок) на рассматриваемом рынке. Иные показатели используются в тех случаях, когда из-за отраслевых особенностей они позволяют более точно охарактеризовать положение хозяйствующих субъектов на рассматриваемом товарном рынке с точки зрения конкуренции.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Указанные выше показатели могут использоваться в натуральном или стоимостном выражении, а также в условных расчетных единицах, обеспечивающих сопоставимость данных по различным товарам из группы взаимозаменяемых товаров, сопоставимость данных по различным продавцам и приобретателям.</w:t>
      </w:r>
    </w:p>
    <w:p w:rsidR="00E913CF" w:rsidRPr="00E913CF" w:rsidRDefault="00E913CF" w:rsidP="00E91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«б» п. 7 Правил установления доминирующего положения финансовой организации (за исключением кредитной организации) (утв. постановлением Правительства РФ от 09.07.07 г. № 359) в целях расчета объема финансовых услуг на товарном рынке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основным показателем (в стоимостном выражении) в отношении услуг, оказываемых страховщиком и обществом взаимного страхования, является  объем собранной финансовой организацией страховой премии по каждому виду страхования за отчетный период.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9 указанных Правил доля финансовой организации на рынке определяется исходя из отношения объема финансовых услуг определенного вида, оказанных 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lastRenderedPageBreak/>
        <w:t>ею, в натуральном и (или) стоимостном выражении к общему объему финансовых услуг данного вида, оказанных в границах  рынка.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Таким образом, в настоящем исследовании объем рынка определен как объем  финансовой (страховой) услуги ОСАГО в стоимостном выражении (объем страховых премий).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Официальные данные об объеме рынка в денежном выражении и долях участников рынка размещены на официальном Интернет-сайте ФСФР  </w:t>
      </w:r>
      <w:hyperlink r:id="rId17" w:history="1">
        <w:r w:rsidRPr="00E913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www.fcsm.ru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13CF" w:rsidRPr="00E913CF" w:rsidRDefault="00E913CF" w:rsidP="00E913C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02"/>
        <w:gridCol w:w="938"/>
        <w:gridCol w:w="621"/>
        <w:gridCol w:w="845"/>
        <w:gridCol w:w="573"/>
        <w:gridCol w:w="845"/>
        <w:gridCol w:w="572"/>
        <w:gridCol w:w="845"/>
        <w:gridCol w:w="573"/>
        <w:gridCol w:w="850"/>
        <w:gridCol w:w="567"/>
        <w:gridCol w:w="378"/>
        <w:gridCol w:w="804"/>
        <w:gridCol w:w="567"/>
      </w:tblGrid>
      <w:tr w:rsidR="00E913CF" w:rsidRPr="00E913CF" w:rsidTr="0039161C"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0" w:type="dxa"/>
            <w:gridSpan w:val="14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страховых премий ОСАГО в тыс. руб.</w:t>
            </w:r>
          </w:p>
        </w:tc>
      </w:tr>
      <w:tr w:rsidR="00E913CF" w:rsidRPr="00E913CF" w:rsidTr="0039161C"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Курская обл.,</w:t>
            </w:r>
          </w:p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Росгосстрах</w:t>
            </w:r>
            <w:proofErr w:type="spellEnd"/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Южурал</w:t>
            </w:r>
            <w:proofErr w:type="spellEnd"/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АСКО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ВСК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Альфастрахование</w:t>
            </w:r>
            <w:proofErr w:type="spellEnd"/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СГ МСК</w:t>
            </w:r>
          </w:p>
        </w:tc>
        <w:tc>
          <w:tcPr>
            <w:tcW w:w="1749" w:type="dxa"/>
            <w:gridSpan w:val="3"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Прочие(доли каждого не превышают  3%)</w:t>
            </w:r>
          </w:p>
        </w:tc>
      </w:tr>
      <w:tr w:rsidR="00E913CF" w:rsidRPr="00E913CF" w:rsidTr="0039161C"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Merge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8" w:type="dxa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621" w:type="dxa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%</w:t>
            </w:r>
          </w:p>
        </w:tc>
        <w:tc>
          <w:tcPr>
            <w:tcW w:w="845" w:type="dxa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%</w:t>
            </w:r>
          </w:p>
        </w:tc>
        <w:tc>
          <w:tcPr>
            <w:tcW w:w="845" w:type="dxa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%</w:t>
            </w:r>
          </w:p>
        </w:tc>
        <w:tc>
          <w:tcPr>
            <w:tcW w:w="845" w:type="dxa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%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%</w:t>
            </w:r>
          </w:p>
        </w:tc>
        <w:tc>
          <w:tcPr>
            <w:tcW w:w="378" w:type="dxa"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К-во</w:t>
            </w:r>
            <w:proofErr w:type="spellEnd"/>
          </w:p>
        </w:tc>
        <w:tc>
          <w:tcPr>
            <w:tcW w:w="804" w:type="dxa"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Тыс.</w:t>
            </w:r>
          </w:p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Доля</w:t>
            </w:r>
          </w:p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913CF" w:rsidRPr="00E913CF" w:rsidTr="0039161C">
        <w:trPr>
          <w:trHeight w:val="124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02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582634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196799</w:t>
            </w:r>
          </w:p>
        </w:tc>
        <w:tc>
          <w:tcPr>
            <w:tcW w:w="621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845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144149</w:t>
            </w:r>
          </w:p>
        </w:tc>
        <w:tc>
          <w:tcPr>
            <w:tcW w:w="573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845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62539</w:t>
            </w:r>
          </w:p>
        </w:tc>
        <w:tc>
          <w:tcPr>
            <w:tcW w:w="572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845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40278</w:t>
            </w:r>
          </w:p>
        </w:tc>
        <w:tc>
          <w:tcPr>
            <w:tcW w:w="573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21665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378" w:type="dxa"/>
            <w:vMerge w:val="restart"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04" w:type="dxa"/>
            <w:vMerge w:val="restart"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117007</w:t>
            </w:r>
          </w:p>
        </w:tc>
        <w:tc>
          <w:tcPr>
            <w:tcW w:w="567" w:type="dxa"/>
            <w:vMerge w:val="restart"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913CF" w:rsidRPr="00E913CF" w:rsidTr="0039161C">
        <w:trPr>
          <w:trHeight w:val="124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Merge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8" w:type="dxa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197</w:t>
            </w:r>
          </w:p>
        </w:tc>
        <w:tc>
          <w:tcPr>
            <w:tcW w:w="621" w:type="dxa"/>
            <w:vMerge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13CF" w:rsidRPr="00E913CF" w:rsidTr="0039161C">
        <w:trPr>
          <w:trHeight w:val="124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1 кв. 2013</w:t>
            </w:r>
          </w:p>
        </w:tc>
        <w:tc>
          <w:tcPr>
            <w:tcW w:w="802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130057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45873</w:t>
            </w:r>
          </w:p>
        </w:tc>
        <w:tc>
          <w:tcPr>
            <w:tcW w:w="621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845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33782</w:t>
            </w:r>
          </w:p>
        </w:tc>
        <w:tc>
          <w:tcPr>
            <w:tcW w:w="573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845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11613</w:t>
            </w:r>
          </w:p>
        </w:tc>
        <w:tc>
          <w:tcPr>
            <w:tcW w:w="572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845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6743</w:t>
            </w:r>
          </w:p>
        </w:tc>
        <w:tc>
          <w:tcPr>
            <w:tcW w:w="573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9091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378" w:type="dxa"/>
            <w:vMerge w:val="restart"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04" w:type="dxa"/>
            <w:vMerge w:val="restart"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22865</w:t>
            </w:r>
          </w:p>
        </w:tc>
        <w:tc>
          <w:tcPr>
            <w:tcW w:w="567" w:type="dxa"/>
            <w:vMerge w:val="restart"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3CF">
              <w:rPr>
                <w:rFonts w:ascii="Times New Roman" w:eastAsia="Times New Roman" w:hAnsi="Times New Roman" w:cs="Times New Roman"/>
                <w:sz w:val="16"/>
                <w:szCs w:val="16"/>
              </w:rPr>
              <w:t>17,6</w:t>
            </w:r>
          </w:p>
        </w:tc>
      </w:tr>
      <w:tr w:rsidR="00E913CF" w:rsidRPr="00E913CF" w:rsidTr="0039161C">
        <w:trPr>
          <w:trHeight w:val="124"/>
        </w:trPr>
        <w:tc>
          <w:tcPr>
            <w:tcW w:w="426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63</w:t>
            </w:r>
          </w:p>
        </w:tc>
        <w:tc>
          <w:tcPr>
            <w:tcW w:w="621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913CF" w:rsidRPr="00E913CF" w:rsidRDefault="00E913CF" w:rsidP="00E9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913CF" w:rsidRPr="00E913CF" w:rsidRDefault="00E913CF" w:rsidP="00E91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Par33"/>
      <w:bookmarkEnd w:id="0"/>
      <w:r w:rsidRPr="00E913CF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Условиями признания доминирующим положения финансовой организации (за исключением кредитной организации)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>, утв.</w:t>
      </w:r>
      <w:r w:rsidRPr="00E91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  <w:r w:rsidRPr="00E91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91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>от 09.06.07 г. N 359,</w:t>
      </w:r>
      <w:r w:rsidRPr="00E91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13CF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оминирующим признается положение финансовой организации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>, дающее такой финансовой организации возможность оказывать решающее влияние на общие условия обращения финансовой услуги на соответствующем рынке, и (или) устранять с товарного рынка других хозяйствующих субъектов, и (или) затруднять им доступ на товарный рынок.</w:t>
      </w:r>
    </w:p>
    <w:p w:rsidR="00E913CF" w:rsidRPr="00E913CF" w:rsidRDefault="00E913CF" w:rsidP="00E91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С учетом относительного размера долей на соответствующем товарном рынке, принадлежащих конкурентам, доминирующим признается положение финансовой организации, в отношении которой выполняются в совокупности следующие условия:</w:t>
      </w:r>
    </w:p>
    <w:p w:rsidR="00E913CF" w:rsidRPr="00E913CF" w:rsidRDefault="00E913CF" w:rsidP="00E91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доля финансовой организации превышает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10 процентов на единственном в РФ товарном рынке либо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20 процентов на товарном рынке, обращающийся на котором товар обращается также на иных товарных рынках в РФ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13CF" w:rsidRPr="00E913CF" w:rsidRDefault="00E913CF" w:rsidP="00E91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доля финансовой организации на товарном рынке в течение длительного периода времени (не менее одного года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или в течение срока существования соответствующего товарного рынка, если такой срок составляет менее одного года)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увеличивается и (или)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неизменно превышает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10 процентов на единственном в РФ товарном рынке либо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20 процентов на товарном рынке, обращающийся на котором товар обращается также на иных товарных рынках в РФ.</w:t>
      </w:r>
    </w:p>
    <w:p w:rsidR="00E913CF" w:rsidRPr="00E913CF" w:rsidRDefault="00E913CF" w:rsidP="00E91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0"/>
          <w:szCs w:val="20"/>
        </w:rPr>
        <w:tab/>
      </w:r>
      <w:r w:rsidRPr="00E913CF">
        <w:rPr>
          <w:rFonts w:ascii="Times New Roman" w:eastAsia="Times New Roman" w:hAnsi="Times New Roman" w:cs="Times New Roman"/>
          <w:sz w:val="24"/>
          <w:szCs w:val="24"/>
        </w:rPr>
        <w:t>Доля ООО «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Росгосстрах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» (в лице Курского филиала) на рынке ОСАГО Курской области является крупнейшей, стабильно превышает 20%, в течение рассматриваемого периода (более года) увеличилась. 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ab/>
        <w:t>ООО «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Росгосстрах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>» располагает наиболее развитой сетью офисов на территории Курской области (7 офисов в г. Курске, офисы в 24 районных центрах из 28 муниципальных районов Курской области). Для сравнения: ООО СК «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Южурал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АСКО» - 3 офиса в г. Курске, 9 офисов в райцентрах; СОАО «ВСК» - 2 офиса в г. Курске, 4 офиса в райцентрах области; ОАО «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Альфастрахование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>» - 4 офиса в г. Курске; ОАО СГ «МСК» - 1 офис в г. Курске, 2 в райцентрах.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ab/>
        <w:t>Таким образом, ООО «</w:t>
      </w:r>
      <w:proofErr w:type="spellStart"/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Росгосстрах</w:t>
      </w:r>
      <w:proofErr w:type="spellEnd"/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 xml:space="preserve">» (в лице Курского филиала) занимает доминирующее положение на рынке ОСАГО Курской области. 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е) Определение уровня концентрации  рынка.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п. 7.1 Порядка для определения уровня концентрации рынка используются следующие показатели: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а) коэффициент рыночной концентрации (CR) - сумма долей на товарном рынке (выраженных в процентах) определенного числа (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) крупнейших хозяйствующих субъектов, действующих на данном рынке: </w:t>
      </w:r>
      <w:r>
        <w:rPr>
          <w:rFonts w:ascii="Times New Roman" w:eastAsia="Times New Roman" w:hAnsi="Times New Roman" w:cs="Times New Roman"/>
          <w:noProof/>
          <w:position w:val="-20"/>
          <w:sz w:val="20"/>
          <w:szCs w:val="20"/>
        </w:rPr>
        <w:drawing>
          <wp:inline distT="0" distB="0" distL="0" distR="0">
            <wp:extent cx="933450" cy="3619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3CF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13CF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13CF">
        <w:rPr>
          <w:rFonts w:ascii="Times New Roman" w:eastAsia="Times New Roman" w:hAnsi="Times New Roman" w:cs="Times New Roman"/>
          <w:sz w:val="18"/>
          <w:szCs w:val="18"/>
        </w:rPr>
        <w:t>D - выраженная в процентах доля i-го крупнейшего хозяйствующего субъекта, действующего на товарном рынке,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913CF"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 w:rsidRPr="00E913CF">
        <w:rPr>
          <w:rFonts w:ascii="Times New Roman" w:eastAsia="Times New Roman" w:hAnsi="Times New Roman" w:cs="Times New Roman"/>
          <w:sz w:val="18"/>
          <w:szCs w:val="18"/>
        </w:rPr>
        <w:t xml:space="preserve"> - число рассматриваемых крупнейших хозяйствующих субъектов, действующих на данном товарном рынке;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Коэффициент рыночной концентрации (CR) рассчитан по 3 крупнейшим субъектам рынка и составил: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  <w:lang w:val="en-US"/>
        </w:rPr>
        <w:t>CR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>3 2012 г. = 69,2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  <w:lang w:val="en-US"/>
        </w:rPr>
        <w:t>CR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>3 1 квартал 2013 г. = 70,1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б) индекс рыночной концентрации 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Герфиндаля-Гиршмана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(HHI) - сумма квадратов долей (выраженных в процентах) на товарном рынке всех хозяйствующих субъектов, действующих на данном рынке: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noProof/>
          <w:position w:val="-20"/>
          <w:sz w:val="20"/>
          <w:szCs w:val="20"/>
        </w:rPr>
        <w:drawing>
          <wp:inline distT="0" distB="0" distL="0" distR="0">
            <wp:extent cx="1038225" cy="3619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3CF">
        <w:rPr>
          <w:rFonts w:ascii="Arial" w:eastAsia="Times New Roman" w:hAnsi="Arial" w:cs="Arial"/>
          <w:sz w:val="20"/>
          <w:szCs w:val="20"/>
        </w:rPr>
        <w:t xml:space="preserve">, </w:t>
      </w:r>
      <w:r w:rsidRPr="00E913CF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13CF">
        <w:rPr>
          <w:rFonts w:ascii="Times New Roman" w:eastAsia="Times New Roman" w:hAnsi="Times New Roman" w:cs="Times New Roman"/>
          <w:sz w:val="18"/>
          <w:szCs w:val="18"/>
        </w:rPr>
        <w:t>D - выраженная в процентах доля i-го хозяйствующего субъекта, действующего на товарном рынке,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13CF">
        <w:rPr>
          <w:rFonts w:ascii="Times New Roman" w:eastAsia="Times New Roman" w:hAnsi="Times New Roman" w:cs="Times New Roman"/>
          <w:sz w:val="18"/>
          <w:szCs w:val="18"/>
        </w:rPr>
        <w:t>N - общее количество хозяйствующих субъектов, действующих на данном товарном рынке.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HHI 2012г. составил 2477,32*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HHI 1 кв. 2013г. составил 2520,76*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913CF">
        <w:rPr>
          <w:rFonts w:ascii="Times New Roman" w:eastAsia="Times New Roman" w:hAnsi="Times New Roman" w:cs="Times New Roman"/>
          <w:sz w:val="16"/>
          <w:szCs w:val="16"/>
        </w:rPr>
        <w:t xml:space="preserve">*при расчете доли </w:t>
      </w:r>
      <w:proofErr w:type="spellStart"/>
      <w:r w:rsidRPr="00E913CF">
        <w:rPr>
          <w:rFonts w:ascii="Times New Roman" w:eastAsia="Times New Roman" w:hAnsi="Times New Roman" w:cs="Times New Roman"/>
          <w:sz w:val="16"/>
          <w:szCs w:val="16"/>
        </w:rPr>
        <w:t>хозсубъектов</w:t>
      </w:r>
      <w:proofErr w:type="spellEnd"/>
      <w:r w:rsidRPr="00E913CF">
        <w:rPr>
          <w:rFonts w:ascii="Times New Roman" w:eastAsia="Times New Roman" w:hAnsi="Times New Roman" w:cs="Times New Roman"/>
          <w:sz w:val="16"/>
          <w:szCs w:val="16"/>
        </w:rPr>
        <w:t xml:space="preserve"> с незначительной рыночной долей в среднем около 3 % приняты за 3%.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Согласно п. 7.2 Порядка в соответствии со значениями коэффициента рыночной концентрации и индекса рыночной концентрации 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Герфиндаля-Гиршмана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 уровень концентрации  рынка: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- 2012 г.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от 45 до 70 % умеренный, стремящийся к высокому; HHI от 2000 до 10000 высокий;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- 1 кв. 2013 г.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от 70% до 100% высокий;  HHI  2000 до 10000 высокий.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Таким образом, уровень концентрации рынка ОСАГО Курской области является высоким.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ж) Определение барьеров входа на товарный рынок.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13CF" w:rsidRPr="00E913CF" w:rsidRDefault="00E913CF" w:rsidP="00E913CF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На рассматриваемом рынке страхования ОСАГО существуют следующие </w:t>
      </w: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барьеры.</w:t>
      </w:r>
    </w:p>
    <w:p w:rsidR="00E913CF" w:rsidRPr="00E913CF" w:rsidRDefault="00E913CF" w:rsidP="00E913CF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Административные ограничения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— получение специального разрешения (лицензии) на осуществление страховой деятельности, которое выдается уполномоченным государственным органом.</w:t>
      </w:r>
    </w:p>
    <w:p w:rsidR="00E913CF" w:rsidRPr="00E913CF" w:rsidRDefault="00E913CF" w:rsidP="00E913CF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Страховщик обязан соответствовать требованиям, установленным Федеральным законом «Об ОСАГО»:</w:t>
      </w:r>
    </w:p>
    <w:p w:rsidR="00E913CF" w:rsidRPr="00E913CF" w:rsidRDefault="00E913CF" w:rsidP="00E913C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- иметь в каждом субъекте РФ своего представителя, уполномоченного на рассмотрение требований потерпевших о страховых выплатах и на осуществление страховых выплат;</w:t>
      </w:r>
    </w:p>
    <w:p w:rsidR="00E913CF" w:rsidRPr="00E913CF" w:rsidRDefault="00E913CF" w:rsidP="00E913C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- страховщики должны быть членами профессионального объединения страховщиков; </w:t>
      </w:r>
    </w:p>
    <w:p w:rsidR="00E913CF" w:rsidRPr="00E913CF" w:rsidRDefault="00E913CF" w:rsidP="00E913C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- необходимым требованием к страховой организации, обращающейся за разрешением (лицензией) на осуществление обязательного страхования гражданской ответственности владельцев транспортных средств, является наличие у этой страховой организации не менее 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lastRenderedPageBreak/>
        <w:t>чем двухлетнего опыта осуществления операций по страхованию транспортных средств или гражданской ответственности их владельцев;</w:t>
      </w:r>
    </w:p>
    <w:p w:rsidR="00E913CF" w:rsidRPr="00E913CF" w:rsidRDefault="00E913CF" w:rsidP="00E913C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- страховщики и их представители должны располагаться в приспособленных для выполнения своих функций помещениях;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- страховщики обязаны вести специальную финансовую и статистическую отчетность и представлять ее в государственные надзорные органы, публиковать годовые бухгалтерские отчеты.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Экономические барьеры</w:t>
      </w: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:  к экономическим барьерам можно отнести обязательные требования, установленные ФЗ «Об организации страхового дела в РФ», к страховым резервам, собственным средствам страховщика, к величине активов, соответствующей требованиям диверсификации, ликвидности, возвратности и доходности. Страховщики обязаны соблюдать установленные требования финансовой устойчивости в части формирования страховых резервов, </w:t>
      </w:r>
      <w:hyperlink r:id="rId21" w:history="1">
        <w:r w:rsidRPr="00E913CF">
          <w:rPr>
            <w:rFonts w:ascii="Times New Roman" w:eastAsia="Times New Roman" w:hAnsi="Times New Roman" w:cs="Times New Roman"/>
            <w:sz w:val="24"/>
            <w:szCs w:val="24"/>
          </w:rPr>
          <w:t>состава и структуры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активов, принимаемых для покрытия страховых резервов, квот на перестрахование, </w:t>
      </w:r>
      <w:hyperlink r:id="rId22" w:history="1">
        <w:r w:rsidRPr="00E913CF">
          <w:rPr>
            <w:rFonts w:ascii="Times New Roman" w:eastAsia="Times New Roman" w:hAnsi="Times New Roman" w:cs="Times New Roman"/>
            <w:sz w:val="24"/>
            <w:szCs w:val="24"/>
          </w:rPr>
          <w:t>нормативного соотношения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средств страховщика и принятых обязательств, </w:t>
      </w:r>
      <w:hyperlink r:id="rId23" w:history="1">
        <w:r w:rsidRPr="00E913CF">
          <w:rPr>
            <w:rFonts w:ascii="Times New Roman" w:eastAsia="Times New Roman" w:hAnsi="Times New Roman" w:cs="Times New Roman"/>
            <w:sz w:val="24"/>
            <w:szCs w:val="24"/>
          </w:rPr>
          <w:t>состава и структуры</w:t>
        </w:r>
      </w:hyperlink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 активов, принимаемых для покрытия собственных средств страховщика, а также выдачи банковских гарантий.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Страховщики должны обладать полностью оплаченным уставным капиталом, размер которого должен быть не ниже установленного законом минимального размера.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Также это требования ФЗ «Об ОСАГО» по образованию резервов для обеспечения компенсационных выплат (резерв гарантий и резерв текущих компенсационных выплат).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К экономическим ограничениям относится и необходимость осуществления значительных первоначальных капитальных вложений при входе на рынок; наличие «эффекта масштаба» (экономически оправданного минимального объема услуг, обусловливающее более высокие затраты на единицу продукции до момента достижения такого объема); существующий высокий уровень концентрации рынка; наличие большого количества успешно действующих на рынке и конкурирующих 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хозсубъектов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>, в том числе организаций, интегрированных в горизонтальные и вертикальные структуры, пользующиеся всеми преимуществами внутрикорпоративных связей в виде доступа к совокупным инвестиционным, финансовым и информационным ресурсам.</w:t>
      </w:r>
    </w:p>
    <w:p w:rsidR="00E913CF" w:rsidRPr="00E913CF" w:rsidRDefault="00E913CF" w:rsidP="00E913CF">
      <w:pPr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Барьеры входа на рынок услуг ОСАГО являются труднопреодолимыми.</w:t>
      </w:r>
    </w:p>
    <w:p w:rsidR="00E913CF" w:rsidRPr="00E913CF" w:rsidRDefault="00E913CF" w:rsidP="00E913CF">
      <w:pPr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E913CF">
        <w:rPr>
          <w:rFonts w:ascii="Times New Roman" w:eastAsia="Times New Roman" w:hAnsi="Times New Roman" w:cs="Times New Roman"/>
          <w:b/>
          <w:sz w:val="24"/>
          <w:szCs w:val="24"/>
        </w:rPr>
        <w:t>) Оценка состояния конкурентной среды на товарном рынке.</w:t>
      </w: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CF">
        <w:rPr>
          <w:rFonts w:ascii="Times New Roman" w:eastAsia="Times New Roman" w:hAnsi="Times New Roman" w:cs="Times New Roman"/>
          <w:sz w:val="24"/>
          <w:szCs w:val="24"/>
        </w:rPr>
        <w:t>Рынок услуг ОСАГО Курской области в рассматриваемом временном интервале является высококонцентрированным,  с недостаточно развитой конкуренцией, с труднопреодолимыми барьерами. При большом количестве участников рынка (от 50 до 60) совокупная доля 5 крупнейших страховщиков достигает 80%. Доминирующее положение на рынке занимает ООО «</w:t>
      </w:r>
      <w:proofErr w:type="spellStart"/>
      <w:r w:rsidRPr="00E913CF">
        <w:rPr>
          <w:rFonts w:ascii="Times New Roman" w:eastAsia="Times New Roman" w:hAnsi="Times New Roman" w:cs="Times New Roman"/>
          <w:sz w:val="24"/>
          <w:szCs w:val="24"/>
        </w:rPr>
        <w:t>Росгосстрах</w:t>
      </w:r>
      <w:proofErr w:type="spellEnd"/>
      <w:r w:rsidRPr="00E913CF">
        <w:rPr>
          <w:rFonts w:ascii="Times New Roman" w:eastAsia="Times New Roman" w:hAnsi="Times New Roman" w:cs="Times New Roman"/>
          <w:sz w:val="24"/>
          <w:szCs w:val="24"/>
        </w:rPr>
        <w:t xml:space="preserve">» (действует в Курской области в лице Курского филиала) с долей, стабильно превышающей 30 %. </w:t>
      </w:r>
    </w:p>
    <w:p w:rsidR="00E913CF" w:rsidRPr="00E913CF" w:rsidRDefault="00E913CF" w:rsidP="00E913C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CF" w:rsidRPr="00E913CF" w:rsidRDefault="00E913CF" w:rsidP="00E913C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13CF" w:rsidRPr="00E913CF" w:rsidSect="00E913C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05C57"/>
    <w:multiLevelType w:val="multilevel"/>
    <w:tmpl w:val="591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E913CF"/>
    <w:rsid w:val="008D1870"/>
    <w:rsid w:val="00E9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B834EA5B835667B67212B9550B5AB19BDE8674233D0C270F8431301F7183C87ED1B605B4F8268v5n7I" TargetMode="External"/><Relationship Id="rId13" Type="http://schemas.openxmlformats.org/officeDocument/2006/relationships/hyperlink" Target="consultantplus://offline/ref=9ADB834EA5B835667B67212B9550B5AB19BDE2694230D0C270F8431301F7183C87ED1B605B4F836Av5n8I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F564C54C06B284E92F8E236DD923CE373F1757FAD21D97FDA9181E0EiFV5M" TargetMode="External"/><Relationship Id="rId7" Type="http://schemas.openxmlformats.org/officeDocument/2006/relationships/hyperlink" Target="consultantplus://offline/ref=E93CC634C19672DDC141A8AD7E966483C1D0615B141CC2D0D4491CA1A69F6E2689FF43D25A55AAT259N" TargetMode="External"/><Relationship Id="rId12" Type="http://schemas.openxmlformats.org/officeDocument/2006/relationships/hyperlink" Target="consultantplus://offline/ref=9ADB834EA5B835667B67212B9550B5AB19BDE2694230D0C270F8431301F7183C87ED1B605B4F8369v5n9I" TargetMode="External"/><Relationship Id="rId17" Type="http://schemas.openxmlformats.org/officeDocument/2006/relationships/hyperlink" Target="http://www.fcsm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DB834EA5B835667B67212B9550B5AB19BAE26B4734D0C270F8431301F7183C87ED1B605B4F8169v5nCI" TargetMode="Externa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3CC634C19672DDC141A8AD7E966483C1D0615B141CC2D0D4491CA1A69F6E2689FF43D25A55AAT259N" TargetMode="External"/><Relationship Id="rId11" Type="http://schemas.openxmlformats.org/officeDocument/2006/relationships/hyperlink" Target="consultantplus://offline/ref=9ADB834EA5B835667B67212B9550B5AB19BDE2694230D0C270F8431301F7183C87ED1B605B4F836Av5n8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93CC634C19672DDC141A8AD7E966483C1D0615B141CC2D0D4491CA1A69F6E2689FF43D25A55AAT250N" TargetMode="External"/><Relationship Id="rId15" Type="http://schemas.openxmlformats.org/officeDocument/2006/relationships/hyperlink" Target="consultantplus://offline/ref=9ADB834EA5B835667B67212B9550B5AB19BAE26D4635D0C270F8431301F7183C87ED1B6053v4nFI" TargetMode="External"/><Relationship Id="rId23" Type="http://schemas.openxmlformats.org/officeDocument/2006/relationships/hyperlink" Target="consultantplus://offline/ref=45F564C54C06B284E92F8E236DD923CE373F1757FAD11D97FDA9181E0EF54E16699A70D5AFBCA93DiBV6M" TargetMode="External"/><Relationship Id="rId10" Type="http://schemas.openxmlformats.org/officeDocument/2006/relationships/hyperlink" Target="consultantplus://offline/ref=9ADB834EA5B835667B67212B9550B5AB19BDE2694230D0C270F8431301F7183C87ED1B605B4F8369v5n9I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DB834EA5B835667B67212B9550B5AB19BDE2694230D0C270F8431301F7183C87ED1B605B4F8269v5nAI" TargetMode="External"/><Relationship Id="rId14" Type="http://schemas.openxmlformats.org/officeDocument/2006/relationships/hyperlink" Target="consultantplus://offline/ref=9ADB834EA5B835667B67212B9550B5AB19BAE26B4734D0C270F8431301F7183C87ED1B605B4F8169v5nCI" TargetMode="External"/><Relationship Id="rId22" Type="http://schemas.openxmlformats.org/officeDocument/2006/relationships/hyperlink" Target="consultantplus://offline/ref=45F564C54C06B284E92F8E236DD923CE37391155F3D51D97FDA9181E0EF54E16699A70D5AFBCA93EiB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TO46-LIHUSHINA1</dc:creator>
  <cp:keywords/>
  <dc:description/>
  <cp:lastModifiedBy>TO46-LIHUSHINA1</cp:lastModifiedBy>
  <cp:revision>2</cp:revision>
  <dcterms:created xsi:type="dcterms:W3CDTF">2015-04-22T12:16:00Z</dcterms:created>
  <dcterms:modified xsi:type="dcterms:W3CDTF">2015-04-22T12:18:00Z</dcterms:modified>
</cp:coreProperties>
</file>